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6" w:type="dxa"/>
        <w:tblInd w:w="-61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10"/>
        <w:gridCol w:w="1622"/>
        <w:gridCol w:w="2268"/>
        <w:gridCol w:w="9497"/>
        <w:gridCol w:w="1559"/>
      </w:tblGrid>
      <w:tr w:rsidR="00CA280C" w:rsidRPr="00E01491" w:rsidTr="00CA280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CA280C" w:rsidRPr="00E01491" w:rsidRDefault="00CA280C" w:rsidP="002436C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CA280C" w:rsidRPr="00E01491" w:rsidRDefault="00CA280C" w:rsidP="002436CB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  <w:u w:val="single"/>
              </w:rPr>
            </w:pPr>
            <w:r w:rsidRPr="00E01491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01491">
              <w:rPr>
                <w:rFonts w:ascii="PT Astra Serif" w:hAnsi="PT Astra Serif"/>
                <w:b/>
                <w:sz w:val="26"/>
                <w:szCs w:val="26"/>
              </w:rPr>
              <w:t>п</w:t>
            </w:r>
            <w:proofErr w:type="gramEnd"/>
            <w:r w:rsidRPr="00E01491">
              <w:rPr>
                <w:rFonts w:ascii="PT Astra Serif" w:hAnsi="PT Astra Serif"/>
                <w:b/>
                <w:sz w:val="26"/>
                <w:szCs w:val="26"/>
              </w:rPr>
              <w:t>/п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01491">
              <w:rPr>
                <w:rFonts w:ascii="PT Astra Serif" w:hAnsi="PT Astra Serif"/>
                <w:b/>
                <w:bCs/>
                <w:sz w:val="26"/>
                <w:szCs w:val="26"/>
                <w:u w:val="single"/>
              </w:rPr>
              <w:t>2</w:t>
            </w:r>
          </w:p>
          <w:p w:rsidR="00CA280C" w:rsidRPr="00E01491" w:rsidRDefault="00CA280C" w:rsidP="002436C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CA280C" w:rsidRPr="00E01491" w:rsidRDefault="00CA280C" w:rsidP="002436CB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  <w:u w:val="single"/>
              </w:rPr>
            </w:pPr>
            <w:r w:rsidRPr="00E01491">
              <w:rPr>
                <w:rFonts w:ascii="PT Astra Serif" w:hAnsi="PT Astra Serif"/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01491">
              <w:rPr>
                <w:rFonts w:ascii="PT Astra Serif" w:hAnsi="PT Astra Serif"/>
                <w:b/>
                <w:bCs/>
                <w:sz w:val="26"/>
                <w:szCs w:val="26"/>
                <w:u w:val="single"/>
              </w:rPr>
              <w:t>3</w:t>
            </w:r>
          </w:p>
          <w:p w:rsidR="00CA280C" w:rsidRPr="00E01491" w:rsidRDefault="00CA280C" w:rsidP="002436C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CA280C" w:rsidRPr="00E01491" w:rsidRDefault="00CA280C" w:rsidP="002436CB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  <w:u w:val="single"/>
              </w:rPr>
            </w:pPr>
            <w:r w:rsidRPr="00E01491">
              <w:rPr>
                <w:rFonts w:ascii="PT Astra Serif" w:hAnsi="PT Astra Serif"/>
                <w:b/>
                <w:sz w:val="26"/>
                <w:szCs w:val="26"/>
              </w:rPr>
              <w:t>Название маршрута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01491">
              <w:rPr>
                <w:rFonts w:ascii="PT Astra Serif" w:hAnsi="PT Astra Serif"/>
                <w:b/>
                <w:bCs/>
                <w:sz w:val="26"/>
                <w:szCs w:val="26"/>
                <w:u w:val="single"/>
              </w:rPr>
              <w:t>4</w:t>
            </w:r>
          </w:p>
          <w:p w:rsidR="00CA280C" w:rsidRPr="00E01491" w:rsidRDefault="00CA280C" w:rsidP="002436C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CA280C" w:rsidRPr="00E01491" w:rsidRDefault="00CA280C" w:rsidP="002436CB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  <w:u w:val="single"/>
              </w:rPr>
            </w:pPr>
            <w:r w:rsidRPr="00E01491">
              <w:rPr>
                <w:rFonts w:ascii="PT Astra Serif" w:hAnsi="PT Astra Serif"/>
                <w:b/>
                <w:sz w:val="26"/>
                <w:szCs w:val="26"/>
              </w:rPr>
              <w:t>Объекты показа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280C" w:rsidRPr="00E01491" w:rsidRDefault="00CA280C" w:rsidP="002436C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01491">
              <w:rPr>
                <w:rFonts w:ascii="PT Astra Serif" w:hAnsi="PT Astra Serif"/>
                <w:b/>
                <w:bCs/>
                <w:sz w:val="26"/>
                <w:szCs w:val="26"/>
                <w:u w:val="single"/>
              </w:rPr>
              <w:t>5</w:t>
            </w:r>
          </w:p>
          <w:p w:rsidR="00CA280C" w:rsidRPr="00E01491" w:rsidRDefault="00CA280C" w:rsidP="002436C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CA280C" w:rsidRPr="00E01491" w:rsidRDefault="00CA280C" w:rsidP="002436CB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  <w:u w:val="single"/>
              </w:rPr>
            </w:pPr>
            <w:r w:rsidRPr="00E01491">
              <w:rPr>
                <w:rFonts w:ascii="PT Astra Serif" w:hAnsi="PT Astra Serif"/>
                <w:b/>
                <w:sz w:val="26"/>
                <w:szCs w:val="26"/>
              </w:rPr>
              <w:t>Тематика</w:t>
            </w:r>
          </w:p>
        </w:tc>
      </w:tr>
      <w:tr w:rsidR="00CA280C" w:rsidRPr="00E01491" w:rsidTr="00CA280C">
        <w:tc>
          <w:tcPr>
            <w:tcW w:w="510" w:type="dxa"/>
            <w:tcBorders>
              <w:left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1491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622" w:type="dxa"/>
            <w:tcBorders>
              <w:left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1491">
              <w:rPr>
                <w:rFonts w:ascii="PT Astra Serif" w:hAnsi="PT Astra Serif"/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CA280C" w:rsidRPr="00E01491" w:rsidRDefault="00AE7DAC" w:rsidP="00AE7DA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«Пешком по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.К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>адый</w:t>
            </w:r>
            <w:proofErr w:type="spellEnd"/>
            <w:r w:rsidR="00CA280C" w:rsidRPr="00E01491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9497" w:type="dxa"/>
            <w:tcBorders>
              <w:left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1491">
              <w:rPr>
                <w:rFonts w:ascii="PT Astra Serif" w:hAnsi="PT Astra Serif"/>
                <w:sz w:val="26"/>
                <w:szCs w:val="26"/>
              </w:rPr>
              <w:t xml:space="preserve">Никольский Храм </w:t>
            </w:r>
            <w:proofErr w:type="spellStart"/>
            <w:r w:rsidRPr="00E01491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Start"/>
            <w:r w:rsidRPr="00E01491">
              <w:rPr>
                <w:rFonts w:ascii="PT Astra Serif" w:hAnsi="PT Astra Serif"/>
                <w:sz w:val="26"/>
                <w:szCs w:val="26"/>
              </w:rPr>
              <w:t>.К</w:t>
            </w:r>
            <w:proofErr w:type="gramEnd"/>
            <w:r w:rsidRPr="00E01491">
              <w:rPr>
                <w:rFonts w:ascii="PT Astra Serif" w:hAnsi="PT Astra Serif"/>
                <w:sz w:val="26"/>
                <w:szCs w:val="26"/>
              </w:rPr>
              <w:t>адый</w:t>
            </w:r>
            <w:proofErr w:type="spellEnd"/>
            <w:r w:rsidRPr="00E01491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proofErr w:type="spellStart"/>
            <w:r w:rsidRPr="00E01491">
              <w:rPr>
                <w:rFonts w:ascii="PT Astra Serif" w:hAnsi="PT Astra Serif"/>
                <w:sz w:val="26"/>
                <w:szCs w:val="26"/>
              </w:rPr>
              <w:t>паметный</w:t>
            </w:r>
            <w:proofErr w:type="spellEnd"/>
            <w:r w:rsidRPr="00E01491">
              <w:rPr>
                <w:rFonts w:ascii="PT Astra Serif" w:hAnsi="PT Astra Serif"/>
                <w:sz w:val="26"/>
                <w:szCs w:val="26"/>
              </w:rPr>
              <w:t xml:space="preserve"> камень установленный на месте </w:t>
            </w:r>
            <w:proofErr w:type="spellStart"/>
            <w:r w:rsidRPr="00E01491">
              <w:rPr>
                <w:rFonts w:ascii="PT Astra Serif" w:hAnsi="PT Astra Serif"/>
                <w:sz w:val="26"/>
                <w:szCs w:val="26"/>
              </w:rPr>
              <w:t>Кадыйской</w:t>
            </w:r>
            <w:proofErr w:type="spellEnd"/>
            <w:r w:rsidRPr="00E01491">
              <w:rPr>
                <w:rFonts w:ascii="PT Astra Serif" w:hAnsi="PT Astra Serif"/>
                <w:sz w:val="26"/>
                <w:szCs w:val="26"/>
              </w:rPr>
              <w:t xml:space="preserve"> крепости, парк, мемориальный комплекс, дом Четвертного М.А., ул. Гагарина (Банковская, Поповская, Кладбищенская), памятный камень установленный на месте разрушенной церкви Михаила Архангела, МКУ «КРКМ»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A280C" w:rsidRPr="00E01491" w:rsidRDefault="00CA280C" w:rsidP="002436C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1491">
              <w:rPr>
                <w:rFonts w:ascii="PT Astra Serif" w:hAnsi="PT Astra Serif"/>
                <w:sz w:val="26"/>
                <w:szCs w:val="26"/>
              </w:rPr>
              <w:t>История краеведения</w:t>
            </w:r>
          </w:p>
        </w:tc>
      </w:tr>
      <w:tr w:rsidR="00CA280C" w:rsidRPr="00E01491" w:rsidTr="00CA280C">
        <w:tc>
          <w:tcPr>
            <w:tcW w:w="510" w:type="dxa"/>
            <w:tcBorders>
              <w:left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1491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left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1491">
              <w:rPr>
                <w:rFonts w:ascii="PT Astra Serif" w:hAnsi="PT Astra Serif"/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1491">
              <w:rPr>
                <w:rFonts w:ascii="PT Astra Serif" w:hAnsi="PT Astra Serif"/>
                <w:sz w:val="26"/>
                <w:szCs w:val="26"/>
              </w:rPr>
              <w:t>«Путешествие в прошлое»</w:t>
            </w:r>
          </w:p>
        </w:tc>
        <w:tc>
          <w:tcPr>
            <w:tcW w:w="9497" w:type="dxa"/>
            <w:tcBorders>
              <w:left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pStyle w:val="a4"/>
              <w:rPr>
                <w:rFonts w:ascii="PT Astra Serif" w:hAnsi="PT Astra Serif" w:cs="Times New Roman"/>
                <w:sz w:val="26"/>
                <w:szCs w:val="26"/>
              </w:rPr>
            </w:pPr>
            <w:r w:rsidRPr="00E01491">
              <w:rPr>
                <w:rFonts w:ascii="PT Astra Serif" w:hAnsi="PT Astra Serif" w:cs="Times New Roman"/>
                <w:sz w:val="26"/>
                <w:szCs w:val="26"/>
              </w:rPr>
              <w:t>п. Кадый. Обзорная экскурсия. Церковь Николая Чудотворца.</w:t>
            </w:r>
          </w:p>
          <w:p w:rsidR="00CA280C" w:rsidRPr="00E01491" w:rsidRDefault="00CA280C" w:rsidP="002436CB">
            <w:pPr>
              <w:pStyle w:val="a4"/>
              <w:rPr>
                <w:rFonts w:ascii="PT Astra Serif" w:hAnsi="PT Astra Serif" w:cs="Times New Roman"/>
                <w:sz w:val="26"/>
                <w:szCs w:val="26"/>
              </w:rPr>
            </w:pPr>
            <w:r w:rsidRPr="00E01491">
              <w:rPr>
                <w:rFonts w:ascii="PT Astra Serif" w:hAnsi="PT Astra Serif" w:cs="Times New Roman"/>
                <w:sz w:val="26"/>
                <w:szCs w:val="26"/>
              </w:rPr>
              <w:t>Кадыйский краеведческий музей.</w:t>
            </w:r>
          </w:p>
          <w:p w:rsidR="00CA280C" w:rsidRPr="00E01491" w:rsidRDefault="00CA280C" w:rsidP="002436CB">
            <w:pPr>
              <w:pStyle w:val="a4"/>
              <w:rPr>
                <w:rFonts w:ascii="PT Astra Serif" w:hAnsi="PT Astra Serif" w:cs="Times New Roman"/>
                <w:sz w:val="26"/>
                <w:szCs w:val="26"/>
              </w:rPr>
            </w:pPr>
            <w:r w:rsidRPr="00E01491">
              <w:rPr>
                <w:rFonts w:ascii="PT Astra Serif" w:hAnsi="PT Astra Serif" w:cs="Times New Roman"/>
                <w:sz w:val="26"/>
                <w:szCs w:val="26"/>
              </w:rPr>
              <w:t xml:space="preserve">с. </w:t>
            </w:r>
            <w:proofErr w:type="spellStart"/>
            <w:r w:rsidRPr="00E01491">
              <w:rPr>
                <w:rFonts w:ascii="PT Astra Serif" w:hAnsi="PT Astra Serif" w:cs="Times New Roman"/>
                <w:sz w:val="26"/>
                <w:szCs w:val="26"/>
              </w:rPr>
              <w:t>Ильинское</w:t>
            </w:r>
            <w:proofErr w:type="spellEnd"/>
            <w:r w:rsidRPr="00E01491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  <w:r w:rsidRPr="00E01491">
              <w:rPr>
                <w:rStyle w:val="a3"/>
                <w:rFonts w:ascii="PT Astra Serif" w:hAnsi="PT Astra Serif" w:cs="Times New Roman"/>
                <w:i w:val="0"/>
                <w:sz w:val="26"/>
                <w:szCs w:val="26"/>
              </w:rPr>
              <w:t>Церковь Ильи Пророка</w:t>
            </w:r>
            <w:r w:rsidRPr="00E01491">
              <w:rPr>
                <w:rStyle w:val="a3"/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gramStart"/>
            <w:r w:rsidRPr="00E01491">
              <w:rPr>
                <w:rStyle w:val="a3"/>
                <w:rFonts w:ascii="PT Astra Serif" w:hAnsi="PT Astra Serif" w:cs="Times New Roman"/>
                <w:i w:val="0"/>
                <w:sz w:val="26"/>
                <w:szCs w:val="26"/>
              </w:rPr>
              <w:t>в</w:t>
            </w:r>
            <w:proofErr w:type="gramEnd"/>
            <w:r w:rsidRPr="00E01491">
              <w:rPr>
                <w:rStyle w:val="a3"/>
                <w:rFonts w:ascii="PT Astra Serif" w:hAnsi="PT Astra Serif" w:cs="Times New Roman"/>
                <w:i w:val="0"/>
                <w:sz w:val="26"/>
                <w:szCs w:val="26"/>
              </w:rPr>
              <w:t xml:space="preserve"> с.</w:t>
            </w:r>
            <w:r w:rsidRPr="00E01491">
              <w:rPr>
                <w:rFonts w:ascii="PT Astra Serif" w:hAnsi="PT Astra Serif" w:cs="Times New Roman"/>
                <w:shadow/>
                <w:sz w:val="26"/>
                <w:szCs w:val="26"/>
              </w:rPr>
              <w:t xml:space="preserve"> </w:t>
            </w:r>
            <w:proofErr w:type="spellStart"/>
            <w:r w:rsidRPr="00E01491">
              <w:rPr>
                <w:rStyle w:val="a3"/>
                <w:rFonts w:ascii="PT Astra Serif" w:hAnsi="PT Astra Serif" w:cs="Times New Roman"/>
                <w:i w:val="0"/>
                <w:sz w:val="26"/>
                <w:szCs w:val="26"/>
              </w:rPr>
              <w:t>Ильинское</w:t>
            </w:r>
            <w:proofErr w:type="spellEnd"/>
            <w:r w:rsidRPr="00E01491">
              <w:rPr>
                <w:rStyle w:val="a3"/>
                <w:rFonts w:ascii="PT Astra Serif" w:hAnsi="PT Astra Serif" w:cs="Times New Roman"/>
                <w:i w:val="0"/>
                <w:sz w:val="26"/>
                <w:szCs w:val="26"/>
              </w:rPr>
              <w:t xml:space="preserve"> </w:t>
            </w:r>
          </w:p>
          <w:p w:rsidR="00CA280C" w:rsidRPr="00E01491" w:rsidRDefault="00CA280C" w:rsidP="002436CB">
            <w:pPr>
              <w:pStyle w:val="a4"/>
              <w:rPr>
                <w:rFonts w:ascii="PT Astra Serif" w:hAnsi="PT Astra Serif" w:cs="Times New Roman"/>
                <w:sz w:val="26"/>
                <w:szCs w:val="26"/>
              </w:rPr>
            </w:pPr>
            <w:r w:rsidRPr="00E01491">
              <w:rPr>
                <w:rFonts w:ascii="PT Astra Serif" w:hAnsi="PT Astra Serif" w:cs="Times New Roman"/>
                <w:sz w:val="26"/>
                <w:szCs w:val="26"/>
              </w:rPr>
              <w:t>с. Рубеж</w:t>
            </w:r>
            <w:proofErr w:type="gramStart"/>
            <w:r w:rsidRPr="00E01491">
              <w:rPr>
                <w:rFonts w:ascii="PT Astra Serif" w:hAnsi="PT Astra Serif" w:cs="Times New Roman"/>
                <w:sz w:val="26"/>
                <w:szCs w:val="26"/>
              </w:rPr>
              <w:t xml:space="preserve">., </w:t>
            </w:r>
            <w:proofErr w:type="gramEnd"/>
            <w:r w:rsidRPr="00E01491">
              <w:rPr>
                <w:rFonts w:ascii="PT Astra Serif" w:hAnsi="PT Astra Serif" w:cs="Times New Roman"/>
                <w:sz w:val="26"/>
                <w:szCs w:val="26"/>
              </w:rPr>
              <w:t>Поклонный Крест,</w:t>
            </w:r>
          </w:p>
          <w:p w:rsidR="00CA280C" w:rsidRPr="00E01491" w:rsidRDefault="00CA280C" w:rsidP="002436C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1491">
              <w:rPr>
                <w:rFonts w:ascii="PT Astra Serif" w:hAnsi="PT Astra Serif"/>
                <w:sz w:val="26"/>
                <w:szCs w:val="26"/>
              </w:rPr>
              <w:t xml:space="preserve">Дом русской старины </w:t>
            </w:r>
            <w:proofErr w:type="spellStart"/>
            <w:r w:rsidRPr="00E01491">
              <w:rPr>
                <w:rFonts w:ascii="PT Astra Serif" w:hAnsi="PT Astra Serif"/>
                <w:sz w:val="26"/>
                <w:szCs w:val="26"/>
              </w:rPr>
              <w:t>с</w:t>
            </w:r>
            <w:proofErr w:type="gramStart"/>
            <w:r w:rsidRPr="00E01491">
              <w:rPr>
                <w:rFonts w:ascii="PT Astra Serif" w:hAnsi="PT Astra Serif"/>
                <w:sz w:val="26"/>
                <w:szCs w:val="26"/>
              </w:rPr>
              <w:t>.Н</w:t>
            </w:r>
            <w:proofErr w:type="gramEnd"/>
            <w:r w:rsidRPr="00E01491">
              <w:rPr>
                <w:rFonts w:ascii="PT Astra Serif" w:hAnsi="PT Astra Serif"/>
                <w:sz w:val="26"/>
                <w:szCs w:val="26"/>
              </w:rPr>
              <w:t>изкусь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A280C" w:rsidRPr="00E01491" w:rsidRDefault="00CA280C" w:rsidP="002436C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1491">
              <w:rPr>
                <w:rFonts w:ascii="PT Astra Serif" w:hAnsi="PT Astra Serif"/>
                <w:sz w:val="26"/>
                <w:szCs w:val="26"/>
              </w:rPr>
              <w:t>История краеведения</w:t>
            </w:r>
          </w:p>
        </w:tc>
      </w:tr>
      <w:tr w:rsidR="00CA280C" w:rsidRPr="00E01491" w:rsidTr="00CA280C">
        <w:tc>
          <w:tcPr>
            <w:tcW w:w="510" w:type="dxa"/>
            <w:tcBorders>
              <w:left w:val="single" w:sz="4" w:space="0" w:color="000000"/>
            </w:tcBorders>
            <w:shd w:val="clear" w:color="auto" w:fill="FFFFFF"/>
          </w:tcPr>
          <w:p w:rsidR="00CA280C" w:rsidRPr="00E01491" w:rsidRDefault="00CA280C" w:rsidP="00CA280C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tcBorders>
              <w:left w:val="single" w:sz="4" w:space="0" w:color="000000"/>
            </w:tcBorders>
            <w:shd w:val="clear" w:color="auto" w:fill="FFFFFF"/>
          </w:tcPr>
          <w:p w:rsidR="00CA280C" w:rsidRPr="00E72FCB" w:rsidRDefault="00CA280C" w:rsidP="002436C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A280C" w:rsidRPr="00E01491" w:rsidRDefault="00CA280C" w:rsidP="002436C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A280C" w:rsidRPr="00E01491" w:rsidTr="00CA280C">
        <w:tc>
          <w:tcPr>
            <w:tcW w:w="510" w:type="dxa"/>
            <w:tcBorders>
              <w:left w:val="single" w:sz="4" w:space="0" w:color="000000"/>
            </w:tcBorders>
            <w:shd w:val="clear" w:color="auto" w:fill="FFFFFF"/>
          </w:tcPr>
          <w:p w:rsidR="00CA280C" w:rsidRPr="00E01491" w:rsidRDefault="00F2776A" w:rsidP="002436C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1491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622" w:type="dxa"/>
            <w:tcBorders>
              <w:left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1491">
              <w:rPr>
                <w:rFonts w:ascii="PT Astra Serif" w:hAnsi="PT Astra Serif"/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E01491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Start"/>
            <w:r w:rsidRPr="00E01491">
              <w:rPr>
                <w:rFonts w:ascii="PT Astra Serif" w:hAnsi="PT Astra Serif"/>
                <w:sz w:val="26"/>
                <w:szCs w:val="26"/>
              </w:rPr>
              <w:t>.К</w:t>
            </w:r>
            <w:proofErr w:type="gramEnd"/>
            <w:r w:rsidRPr="00E01491">
              <w:rPr>
                <w:rFonts w:ascii="PT Astra Serif" w:hAnsi="PT Astra Serif"/>
                <w:sz w:val="26"/>
                <w:szCs w:val="26"/>
              </w:rPr>
              <w:t>адый</w:t>
            </w:r>
            <w:proofErr w:type="spellEnd"/>
            <w:r w:rsidRPr="00E01491">
              <w:rPr>
                <w:rFonts w:ascii="PT Astra Serif" w:hAnsi="PT Astra Serif"/>
                <w:sz w:val="26"/>
                <w:szCs w:val="26"/>
              </w:rPr>
              <w:t xml:space="preserve"> – с. </w:t>
            </w:r>
            <w:proofErr w:type="spellStart"/>
            <w:r w:rsidRPr="00E01491">
              <w:rPr>
                <w:rFonts w:ascii="PT Astra Serif" w:hAnsi="PT Astra Serif"/>
                <w:sz w:val="26"/>
                <w:szCs w:val="26"/>
              </w:rPr>
              <w:t>Чернышево</w:t>
            </w:r>
            <w:proofErr w:type="spellEnd"/>
            <w:r w:rsidRPr="00E01491">
              <w:rPr>
                <w:rFonts w:ascii="PT Astra Serif" w:hAnsi="PT Astra Serif"/>
                <w:sz w:val="26"/>
                <w:szCs w:val="26"/>
              </w:rPr>
              <w:t xml:space="preserve"> «П.И. Петров – герой </w:t>
            </w:r>
            <w:r w:rsidRPr="00E01491">
              <w:rPr>
                <w:rFonts w:ascii="PT Astra Serif" w:hAnsi="PT Astra Serif"/>
                <w:spacing w:val="-6"/>
                <w:sz w:val="26"/>
                <w:szCs w:val="26"/>
              </w:rPr>
              <w:t xml:space="preserve">Отечественной </w:t>
            </w:r>
            <w:r w:rsidRPr="00E01491">
              <w:rPr>
                <w:rFonts w:ascii="PT Astra Serif" w:hAnsi="PT Astra Serif"/>
                <w:spacing w:val="-2"/>
                <w:sz w:val="26"/>
                <w:szCs w:val="26"/>
              </w:rPr>
              <w:t>войны 1812 г.»</w:t>
            </w:r>
          </w:p>
        </w:tc>
        <w:tc>
          <w:tcPr>
            <w:tcW w:w="9497" w:type="dxa"/>
            <w:tcBorders>
              <w:left w:val="single" w:sz="4" w:space="0" w:color="000000"/>
            </w:tcBorders>
            <w:shd w:val="clear" w:color="auto" w:fill="FFFFFF"/>
          </w:tcPr>
          <w:p w:rsidR="00CA280C" w:rsidRPr="00E72FCB" w:rsidRDefault="00CA280C" w:rsidP="002436CB">
            <w:pPr>
              <w:pStyle w:val="a4"/>
              <w:rPr>
                <w:rFonts w:ascii="PT Astra Serif" w:hAnsi="PT Astra Serif" w:cs="Times New Roman"/>
                <w:sz w:val="26"/>
                <w:szCs w:val="26"/>
              </w:rPr>
            </w:pPr>
            <w:r w:rsidRPr="00E72FCB">
              <w:rPr>
                <w:rFonts w:ascii="PT Astra Serif" w:hAnsi="PT Astra Serif" w:cs="Times New Roman"/>
                <w:sz w:val="26"/>
                <w:szCs w:val="26"/>
              </w:rPr>
              <w:t xml:space="preserve">Знакомство с историей села – усадьбой Павла Ивановича Петрова, героя Отечественной войны 1812 года (родственника М.Ю. Лермонтова). </w:t>
            </w:r>
          </w:p>
          <w:p w:rsidR="00CA280C" w:rsidRPr="00E72FCB" w:rsidRDefault="00CA280C" w:rsidP="002436CB">
            <w:pPr>
              <w:pStyle w:val="a4"/>
              <w:rPr>
                <w:rFonts w:ascii="PT Astra Serif" w:hAnsi="PT Astra Serif" w:cs="Times New Roman"/>
                <w:sz w:val="26"/>
                <w:szCs w:val="26"/>
              </w:rPr>
            </w:pPr>
            <w:r w:rsidRPr="00E72FCB">
              <w:rPr>
                <w:rFonts w:ascii="PT Astra Serif" w:hAnsi="PT Astra Serif" w:cs="Times New Roman"/>
                <w:sz w:val="26"/>
                <w:szCs w:val="26"/>
              </w:rPr>
              <w:t>Каменная Преображенская церковь, построена в 18</w:t>
            </w:r>
            <w:bookmarkStart w:id="0" w:name="_GoBack"/>
            <w:bookmarkEnd w:id="0"/>
            <w:r w:rsidRPr="00E72FCB">
              <w:rPr>
                <w:rFonts w:ascii="PT Astra Serif" w:hAnsi="PT Astra Serif" w:cs="Times New Roman"/>
                <w:sz w:val="26"/>
                <w:szCs w:val="26"/>
              </w:rPr>
              <w:t xml:space="preserve">23 г. </w:t>
            </w:r>
          </w:p>
          <w:p w:rsidR="00CA280C" w:rsidRPr="00E72FCB" w:rsidRDefault="00CA280C" w:rsidP="002436CB">
            <w:pPr>
              <w:pStyle w:val="a4"/>
              <w:rPr>
                <w:rFonts w:ascii="PT Astra Serif" w:hAnsi="PT Astra Serif" w:cs="Times New Roman"/>
                <w:sz w:val="26"/>
                <w:szCs w:val="26"/>
              </w:rPr>
            </w:pPr>
            <w:r w:rsidRPr="00E72FCB">
              <w:rPr>
                <w:rFonts w:ascii="PT Astra Serif" w:hAnsi="PT Astra Serif" w:cs="Times New Roman"/>
                <w:sz w:val="26"/>
                <w:szCs w:val="26"/>
              </w:rPr>
              <w:t xml:space="preserve">Усадебный </w:t>
            </w:r>
            <w:r w:rsidRPr="00E72FCB">
              <w:rPr>
                <w:rFonts w:ascii="PT Astra Serif" w:hAnsi="PT Astra Serif" w:cs="Times New Roman"/>
                <w:bCs/>
                <w:sz w:val="26"/>
                <w:szCs w:val="26"/>
              </w:rPr>
              <w:t>парк</w:t>
            </w:r>
            <w:r w:rsidRPr="00E72FCB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CA280C" w:rsidRPr="00E72FCB" w:rsidRDefault="00CA280C" w:rsidP="002436CB">
            <w:pPr>
              <w:pStyle w:val="a4"/>
              <w:rPr>
                <w:rFonts w:ascii="PT Astra Serif" w:hAnsi="PT Astra Serif" w:cs="Times New Roman"/>
                <w:sz w:val="26"/>
                <w:szCs w:val="26"/>
              </w:rPr>
            </w:pPr>
            <w:r w:rsidRPr="00E72FCB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Училище земское, </w:t>
            </w:r>
            <w:r w:rsidRPr="00E72FCB">
              <w:rPr>
                <w:rFonts w:ascii="PT Astra Serif" w:hAnsi="PT Astra Serif" w:cs="Times New Roman"/>
                <w:sz w:val="26"/>
                <w:szCs w:val="26"/>
              </w:rPr>
              <w:t>нач. 20 в. Училище возведено в 1905 г. на средства местного помещика С.А. Петрова (внука П.И. Петрова). По ходу движения посещение родников: Покрова Пресвятой Богородицы; Голубая вода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A280C" w:rsidRPr="00E01491" w:rsidRDefault="00CA280C" w:rsidP="002436C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1491">
              <w:rPr>
                <w:rFonts w:ascii="PT Astra Serif" w:hAnsi="PT Astra Serif"/>
                <w:sz w:val="26"/>
                <w:szCs w:val="26"/>
              </w:rPr>
              <w:t>История краеведения</w:t>
            </w:r>
          </w:p>
        </w:tc>
      </w:tr>
      <w:tr w:rsidR="00CA280C" w:rsidRPr="00E01491" w:rsidTr="00CA280C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80C" w:rsidRPr="00E01491" w:rsidRDefault="00F2776A" w:rsidP="002436C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1491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1491">
              <w:rPr>
                <w:rFonts w:ascii="PT Astra Serif" w:hAnsi="PT Astra Serif"/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pStyle w:val="a4"/>
              <w:rPr>
                <w:rFonts w:ascii="PT Astra Serif" w:hAnsi="PT Astra Serif" w:cs="Times New Roman"/>
                <w:sz w:val="26"/>
                <w:szCs w:val="26"/>
              </w:rPr>
            </w:pPr>
            <w:r w:rsidRPr="00E01491">
              <w:rPr>
                <w:rFonts w:ascii="PT Astra Serif" w:hAnsi="PT Astra Serif" w:cs="Times New Roman"/>
                <w:sz w:val="26"/>
                <w:szCs w:val="26"/>
              </w:rPr>
              <w:t>Кады</w:t>
            </w:r>
            <w:proofErr w:type="gramStart"/>
            <w:r w:rsidRPr="00E01491">
              <w:rPr>
                <w:rFonts w:ascii="PT Astra Serif" w:hAnsi="PT Astra Serif" w:cs="Times New Roman"/>
                <w:sz w:val="26"/>
                <w:szCs w:val="26"/>
              </w:rPr>
              <w:t>й-</w:t>
            </w:r>
            <w:proofErr w:type="gramEnd"/>
            <w:r w:rsidRPr="00E01491">
              <w:rPr>
                <w:rFonts w:ascii="PT Astra Serif" w:hAnsi="PT Astra Serif" w:cs="Times New Roman"/>
                <w:sz w:val="26"/>
                <w:szCs w:val="26"/>
              </w:rPr>
              <w:t xml:space="preserve"> с. Завражье – п. Кадый «Путешествие на родину Андрея Тарковского» и предков П. Флоренского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80C" w:rsidRPr="00E01491" w:rsidRDefault="00CA280C" w:rsidP="002436CB">
            <w:pPr>
              <w:pStyle w:val="a4"/>
              <w:rPr>
                <w:rFonts w:ascii="PT Astra Serif" w:hAnsi="PT Astra Serif" w:cs="Times New Roman"/>
                <w:sz w:val="26"/>
                <w:szCs w:val="26"/>
              </w:rPr>
            </w:pPr>
            <w:r w:rsidRPr="00E01491">
              <w:rPr>
                <w:rFonts w:ascii="PT Astra Serif" w:hAnsi="PT Astra Serif" w:cs="Times New Roman"/>
                <w:sz w:val="26"/>
                <w:szCs w:val="26"/>
              </w:rPr>
              <w:t xml:space="preserve">Церковь Николая Чудотворца расположена на центральной площади посёлка Кадый. </w:t>
            </w:r>
          </w:p>
          <w:p w:rsidR="00CA280C" w:rsidRPr="00E01491" w:rsidRDefault="00CA280C" w:rsidP="002436CB">
            <w:pPr>
              <w:pStyle w:val="a4"/>
              <w:rPr>
                <w:rFonts w:ascii="PT Astra Serif" w:hAnsi="PT Astra Serif" w:cs="Times New Roman"/>
                <w:sz w:val="26"/>
                <w:szCs w:val="26"/>
              </w:rPr>
            </w:pPr>
            <w:r w:rsidRPr="00E01491">
              <w:rPr>
                <w:rFonts w:ascii="PT Astra Serif" w:hAnsi="PT Astra Serif" w:cs="Times New Roman"/>
                <w:sz w:val="26"/>
                <w:szCs w:val="26"/>
              </w:rPr>
              <w:t>Храм Рождества Пречистой Богородицы. В храмах служили предки всемирно известного учёного П.А. Флоренского.</w:t>
            </w:r>
          </w:p>
          <w:p w:rsidR="00CA280C" w:rsidRPr="00E01491" w:rsidRDefault="00CA280C" w:rsidP="002436CB">
            <w:pPr>
              <w:pStyle w:val="a4"/>
              <w:rPr>
                <w:rFonts w:ascii="PT Astra Serif" w:hAnsi="PT Astra Serif" w:cs="Times New Roman"/>
                <w:sz w:val="26"/>
                <w:szCs w:val="26"/>
              </w:rPr>
            </w:pPr>
            <w:r w:rsidRPr="00E01491">
              <w:rPr>
                <w:rFonts w:ascii="PT Astra Serif" w:hAnsi="PT Astra Serif" w:cs="Times New Roman"/>
                <w:sz w:val="26"/>
                <w:szCs w:val="26"/>
              </w:rPr>
              <w:t>С Пречистенским приходом связано имя известного кинорежиссера А. Тарковского, который был крещен в Храме Рождества Пречистой Богородицы.</w:t>
            </w:r>
          </w:p>
          <w:p w:rsidR="00CA280C" w:rsidRPr="00E01491" w:rsidRDefault="00CA280C" w:rsidP="002436CB">
            <w:pPr>
              <w:pStyle w:val="a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E01491">
              <w:rPr>
                <w:rFonts w:ascii="PT Astra Serif" w:hAnsi="PT Astra Serif" w:cs="Times New Roman"/>
                <w:sz w:val="26"/>
                <w:szCs w:val="26"/>
              </w:rPr>
              <w:t>Историко</w:t>
            </w:r>
            <w:proofErr w:type="spellEnd"/>
            <w:r w:rsidRPr="00E01491">
              <w:rPr>
                <w:rFonts w:ascii="PT Astra Serif" w:hAnsi="PT Astra Serif" w:cs="Times New Roman"/>
                <w:sz w:val="26"/>
                <w:szCs w:val="26"/>
              </w:rPr>
              <w:t>–культурный музей с. Завражье был открыт 30 октября 2004 года в доме, в котором родился и провел детские годы Тарковский А.А.</w:t>
            </w:r>
          </w:p>
          <w:p w:rsidR="00CA280C" w:rsidRPr="00E01491" w:rsidRDefault="00CA280C" w:rsidP="002436CB">
            <w:pPr>
              <w:pStyle w:val="a4"/>
              <w:rPr>
                <w:rFonts w:ascii="PT Astra Serif" w:hAnsi="PT Astra Serif" w:cs="Times New Roman"/>
                <w:sz w:val="26"/>
                <w:szCs w:val="26"/>
              </w:rPr>
            </w:pPr>
            <w:r w:rsidRPr="00E01491">
              <w:rPr>
                <w:rFonts w:ascii="PT Astra Serif" w:hAnsi="PT Astra Serif" w:cs="Times New Roman"/>
                <w:sz w:val="26"/>
                <w:szCs w:val="26"/>
              </w:rPr>
              <w:t>По ходу движения посещение родников: Покрова Пресвятой Богородицы; Голубая вода</w:t>
            </w:r>
            <w:proofErr w:type="gramStart"/>
            <w:r w:rsidRPr="00E01491">
              <w:rPr>
                <w:rFonts w:ascii="PT Astra Serif" w:hAnsi="PT Astra Serif" w:cs="Times New Roman"/>
                <w:sz w:val="26"/>
                <w:szCs w:val="26"/>
              </w:rPr>
              <w:t xml:space="preserve"> .</w:t>
            </w:r>
            <w:proofErr w:type="gramEnd"/>
            <w:r w:rsidRPr="00E01491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280C" w:rsidRPr="00E01491" w:rsidRDefault="00CA280C" w:rsidP="002436C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1491">
              <w:rPr>
                <w:rFonts w:ascii="PT Astra Serif" w:hAnsi="PT Astra Serif"/>
                <w:sz w:val="26"/>
                <w:szCs w:val="26"/>
              </w:rPr>
              <w:t>История краеведения</w:t>
            </w:r>
          </w:p>
        </w:tc>
      </w:tr>
    </w:tbl>
    <w:p w:rsidR="00B31CC5" w:rsidRPr="00E01491" w:rsidRDefault="00B31CC5" w:rsidP="00E72FCB">
      <w:pPr>
        <w:ind w:right="480"/>
        <w:rPr>
          <w:rFonts w:ascii="PT Astra Serif" w:hAnsi="PT Astra Serif"/>
          <w:sz w:val="26"/>
          <w:szCs w:val="26"/>
        </w:rPr>
      </w:pPr>
    </w:p>
    <w:sectPr w:rsidR="00B31CC5" w:rsidRPr="00E01491" w:rsidSect="00ED1587">
      <w:pgSz w:w="16838" w:h="11906" w:orient="landscape"/>
      <w:pgMar w:top="510" w:right="449" w:bottom="28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4C2E"/>
    <w:multiLevelType w:val="hybridMultilevel"/>
    <w:tmpl w:val="8E08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280C"/>
    <w:rsid w:val="00AE7DAC"/>
    <w:rsid w:val="00B31CC5"/>
    <w:rsid w:val="00CA280C"/>
    <w:rsid w:val="00E01491"/>
    <w:rsid w:val="00E72FCB"/>
    <w:rsid w:val="00ED1587"/>
    <w:rsid w:val="00F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0C"/>
    <w:pPr>
      <w:widowControl w:val="0"/>
      <w:suppressAutoHyphens/>
      <w:spacing w:after="0" w:line="240" w:lineRule="auto"/>
    </w:pPr>
    <w:rPr>
      <w:rFonts w:ascii="Times New Roman" w:eastAsia="Droid Sans Fallback" w:hAnsi="Times New Roman" w:cs="Droid Sans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A280C"/>
    <w:rPr>
      <w:i/>
      <w:iCs/>
    </w:rPr>
  </w:style>
  <w:style w:type="paragraph" w:styleId="a4">
    <w:name w:val="No Spacing"/>
    <w:qFormat/>
    <w:rsid w:val="00CA28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80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2020-11-27T08:17:00Z</cp:lastPrinted>
  <dcterms:created xsi:type="dcterms:W3CDTF">2021-04-28T09:11:00Z</dcterms:created>
  <dcterms:modified xsi:type="dcterms:W3CDTF">2021-05-04T04:42:00Z</dcterms:modified>
</cp:coreProperties>
</file>