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  <w:u w:val="single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ПРАВИТЕЛЬСТВО РОССИЙСКОЙ ФЕДЕРАЦИИ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16"/>
          <w:szCs w:val="16"/>
        </w:rPr>
        <w:t>от 27 февраля 2020 г. N 208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ФЕДЕРАЛЬНОГО СТАНДАРТА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ГОСУДАРСТВЕННОГО (МУНИЦИПАЛЬНОГО) ФИНАНСОВОГО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</w:t>
      </w:r>
      <w:r>
        <w:rPr>
          <w:rFonts w:ascii="Arial CYR" w:hAnsi="Arial CYR" w:cs="Arial CYR"/>
          <w:b/>
          <w:bCs/>
          <w:sz w:val="16"/>
          <w:szCs w:val="16"/>
        </w:rPr>
        <w:t>НТРОЛЯ "ПЛАНИРОВАНИЕ ПРОВЕРОК, РЕВИЗИЙ И ОБСЛЕДОВАНИЙ"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с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3 статьи 269.2</w:t>
        </w:r>
      </w:hyperlink>
      <w:r>
        <w:rPr>
          <w:rFonts w:ascii="Arial CYR" w:hAnsi="Arial CYR" w:cs="Arial CYR"/>
          <w:sz w:val="16"/>
          <w:szCs w:val="16"/>
        </w:rPr>
        <w:t xml:space="preserve"> Бюд</w:t>
      </w:r>
      <w:r>
        <w:rPr>
          <w:rFonts w:ascii="Arial CYR" w:hAnsi="Arial CYR" w:cs="Arial CYR"/>
          <w:sz w:val="16"/>
          <w:szCs w:val="16"/>
        </w:rPr>
        <w:t>жетного кодекса Российской Федерации Правительство Российской Федерации постановляет: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прилагаемый федеральный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стандарт</w:t>
        </w:r>
      </w:hyperlink>
      <w:r>
        <w:rPr>
          <w:rFonts w:ascii="Arial CYR" w:hAnsi="Arial CYR" w:cs="Arial CYR"/>
          <w:sz w:val="16"/>
          <w:szCs w:val="16"/>
        </w:rPr>
        <w:t xml:space="preserve"> внутреннего государственного (муниципального) финансового контроля "Планирование проверок, ревизий и</w:t>
      </w:r>
      <w:r>
        <w:rPr>
          <w:rFonts w:ascii="Arial CYR" w:hAnsi="Arial CYR" w:cs="Arial CYR"/>
          <w:sz w:val="16"/>
          <w:szCs w:val="16"/>
        </w:rPr>
        <w:t xml:space="preserve"> обследований".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Настоящее постановление вступает в силу с 1 июля 2020 г.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Председатель Правительства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М.МИШУСТИН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постановлением Правительства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27 февраля 2020 г. N 208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ФЕДЕРАЛЬНЫЙ СТАНДАРТ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</w:t>
      </w:r>
      <w:r>
        <w:rPr>
          <w:rFonts w:ascii="Arial CYR" w:hAnsi="Arial CYR" w:cs="Arial CYR"/>
          <w:b/>
          <w:bCs/>
          <w:sz w:val="16"/>
          <w:szCs w:val="16"/>
        </w:rPr>
        <w:t>ЕННЕГО ГОСУДАРСТВЕННОГО (МУНИЦИПАЛЬНОГО) ФИНАНСОВОГО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КОНТРОЛЯ "ПЛАНИРОВАНИЕ ПРОВЕРОК, РЕВИЗИЙ И ОБСЛЕДОВАНИЙ"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I. Общие положения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Федеральный стандарт внутреннего государственного (муниципального) финансового контроля "Планирование проверок, ревизий и </w:t>
      </w:r>
      <w:r>
        <w:rPr>
          <w:rFonts w:ascii="Arial CYR" w:hAnsi="Arial CYR" w:cs="Arial CYR"/>
          <w:sz w:val="16"/>
          <w:szCs w:val="16"/>
        </w:rPr>
        <w:t xml:space="preserve">обследований" (далее -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</w:t>
      </w:r>
      <w:r>
        <w:rPr>
          <w:rFonts w:ascii="Arial CYR" w:hAnsi="Arial CYR" w:cs="Arial CYR"/>
          <w:sz w:val="16"/>
          <w:szCs w:val="16"/>
        </w:rPr>
        <w:t>правоотношения органом внутреннего государственного (муниципального) финансового контроля (далее соответственно - орган контроля, контрольные мероприятия).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Орган контроля формирует и утверждает документ, устанавливающий на очередной финансовый год переч</w:t>
      </w:r>
      <w:r>
        <w:rPr>
          <w:rFonts w:ascii="Arial CYR" w:hAnsi="Arial CYR" w:cs="Arial CYR"/>
          <w:sz w:val="16"/>
          <w:szCs w:val="16"/>
        </w:rPr>
        <w:t>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темы контрольных мероприятий;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наименования объектов внутреннего государственного (муниципаль</w:t>
      </w:r>
      <w:r>
        <w:rPr>
          <w:rFonts w:ascii="Arial CYR" w:hAnsi="Arial CYR" w:cs="Arial CYR"/>
          <w:sz w:val="16"/>
          <w:szCs w:val="16"/>
        </w:rPr>
        <w:t>ного) финансового контроля (далее - объект контроля) либо групп объектов контроля по каждому контрольному мероприятию;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проверяемый период;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период (дата) начала проведения контрольных мероприятий.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По решению руководителя органа контроля в плане контрольных </w:t>
      </w:r>
      <w:r>
        <w:rPr>
          <w:rFonts w:ascii="Arial CYR" w:hAnsi="Arial CYR" w:cs="Arial CYR"/>
          <w:sz w:val="16"/>
          <w:szCs w:val="16"/>
        </w:rPr>
        <w:t>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 контроля вправе утвердить форму плана контрольных мероприятий.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На стадии формирования плана </w:t>
      </w:r>
      <w:r>
        <w:rPr>
          <w:rFonts w:ascii="Arial CYR" w:hAnsi="Arial CYR" w:cs="Arial CYR"/>
          <w:sz w:val="16"/>
          <w:szCs w:val="16"/>
        </w:rPr>
        <w:t>контрольных мероприятий составляется проект плана контрольных мероприятий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</w:t>
      </w:r>
      <w:r>
        <w:rPr>
          <w:rFonts w:ascii="Arial CYR" w:hAnsi="Arial CYR" w:cs="Arial CYR"/>
          <w:sz w:val="16"/>
          <w:szCs w:val="16"/>
        </w:rPr>
        <w:t xml:space="preserve">бъекта контроля и (или) направления его финансово-хозяйственной деятельности (далее - предмет контроля) к предусмотренным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11</w:t>
        </w:r>
      </w:hyperlink>
      <w:r>
        <w:rPr>
          <w:rFonts w:ascii="Arial CYR" w:hAnsi="Arial CYR" w:cs="Arial CYR"/>
          <w:sz w:val="16"/>
          <w:szCs w:val="16"/>
        </w:rPr>
        <w:t xml:space="preserve"> стандарта категориям риска.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Под риском понимается степень возможности наступления события, негат</w:t>
      </w:r>
      <w:r>
        <w:rPr>
          <w:rFonts w:ascii="Arial CYR" w:hAnsi="Arial CYR" w:cs="Arial CYR"/>
          <w:sz w:val="16"/>
          <w:szCs w:val="16"/>
        </w:rPr>
        <w:t>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II. Планирование контр</w:t>
      </w:r>
      <w:r>
        <w:rPr>
          <w:rFonts w:ascii="Arial CYR" w:hAnsi="Arial CYR" w:cs="Arial CYR"/>
          <w:b/>
          <w:bCs/>
          <w:sz w:val="16"/>
          <w:szCs w:val="16"/>
        </w:rPr>
        <w:t>ольных мероприятий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Планирование контрольных мероприятий включает следующие этапы: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формирование исходных данных для составления проекта плана контрольных мероприятий;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составление проекта плана контрольных мероприятий;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утверждение плана контроль</w:t>
      </w:r>
      <w:r>
        <w:rPr>
          <w:rFonts w:ascii="Arial CYR" w:hAnsi="Arial CYR" w:cs="Arial CYR"/>
          <w:sz w:val="16"/>
          <w:szCs w:val="16"/>
        </w:rPr>
        <w:t>ных мероприятий.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Формирование исходных данных для составления проекта плана контрольных мероприятий включает: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сбор и анализ информации об объектах контроля;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определение объектов контроля и тем контрольных мероприятий, включаемых в проект плана кон</w:t>
      </w:r>
      <w:r>
        <w:rPr>
          <w:rFonts w:ascii="Arial CYR" w:hAnsi="Arial CYR" w:cs="Arial CYR"/>
          <w:sz w:val="16"/>
          <w:szCs w:val="16"/>
        </w:rPr>
        <w:t>трольных мероприятий;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Сбор и анализ информации об объектах контроля осуществляется а</w:t>
      </w:r>
      <w:r>
        <w:rPr>
          <w:rFonts w:ascii="Arial CYR" w:hAnsi="Arial CYR" w:cs="Arial CYR"/>
          <w:sz w:val="16"/>
          <w:szCs w:val="16"/>
        </w:rPr>
        <w:t>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предусмат</w:t>
      </w:r>
      <w:r>
        <w:rPr>
          <w:rFonts w:ascii="Arial CYR" w:hAnsi="Arial CYR" w:cs="Arial CYR"/>
          <w:sz w:val="16"/>
          <w:szCs w:val="16"/>
        </w:rPr>
        <w:t>ривающего в том числе автоматизированную проверку данных на непревышение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</w:t>
      </w:r>
      <w:r>
        <w:rPr>
          <w:rFonts w:ascii="Arial CYR" w:hAnsi="Arial CYR" w:cs="Arial CYR"/>
          <w:sz w:val="16"/>
          <w:szCs w:val="16"/>
        </w:rPr>
        <w:t>и об объектах контроля осуществляется путем изучения должностным лицом органа контроля документов на бумажном носителе.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Информация об объектах контроля, в том числе информация из информационных систем, владельцами или операторами которых являются Федера</w:t>
      </w:r>
      <w:r>
        <w:rPr>
          <w:rFonts w:ascii="Arial CYR" w:hAnsi="Arial CYR" w:cs="Arial CYR"/>
          <w:sz w:val="16"/>
          <w:szCs w:val="16"/>
        </w:rPr>
        <w:t>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"вероятность допущения нарушения" (далее - критерий "</w:t>
      </w:r>
      <w:r>
        <w:rPr>
          <w:rFonts w:ascii="Arial CYR" w:hAnsi="Arial CYR" w:cs="Arial CYR"/>
          <w:sz w:val="16"/>
          <w:szCs w:val="16"/>
        </w:rPr>
        <w:t>вероятность") и значение критерия "существенность последствий нарушения" (далее - критерий "существенность").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 При определении значения критерия "вероятность" используется следующая информация: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значения показателей качества финансового менеджмента объ</w:t>
      </w:r>
      <w:r>
        <w:rPr>
          <w:rFonts w:ascii="Arial CYR" w:hAnsi="Arial CYR" w:cs="Arial CYR"/>
          <w:sz w:val="16"/>
          <w:szCs w:val="16"/>
        </w:rPr>
        <w:t xml:space="preserve">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статьи 160.2-1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Федерации;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</w:t>
      </w:r>
      <w:r>
        <w:rPr>
          <w:rFonts w:ascii="Arial CYR" w:hAnsi="Arial CYR" w:cs="Arial CYR"/>
          <w:sz w:val="16"/>
          <w:szCs w:val="16"/>
        </w:rPr>
        <w:t>едиты;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</w:t>
      </w:r>
      <w:r>
        <w:rPr>
          <w:rFonts w:ascii="Arial CYR" w:hAnsi="Arial CYR" w:cs="Arial CYR"/>
          <w:sz w:val="16"/>
          <w:szCs w:val="16"/>
        </w:rPr>
        <w:t>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г) наличие (отсутствие) нарушений, выявленных</w:t>
      </w:r>
      <w:r>
        <w:rPr>
          <w:rFonts w:ascii="Arial CYR" w:hAnsi="Arial CYR" w:cs="Arial CYR"/>
          <w:sz w:val="16"/>
          <w:szCs w:val="16"/>
        </w:rPr>
        <w:t xml:space="preserve">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д) полнота исполнения объектом контроля представлений, предписаний об устранении объектом контроля нарушений и недоста</w:t>
      </w:r>
      <w:r>
        <w:rPr>
          <w:rFonts w:ascii="Arial CYR" w:hAnsi="Arial CYR" w:cs="Arial CYR"/>
          <w:sz w:val="16"/>
          <w:szCs w:val="16"/>
        </w:rPr>
        <w:t>тков, выявленных по результатам ранее проведенных контрольных мероприятий;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ж) иная информация, необходимая </w:t>
      </w:r>
      <w:r>
        <w:rPr>
          <w:rFonts w:ascii="Arial CYR" w:hAnsi="Arial CYR" w:cs="Arial CYR"/>
          <w:sz w:val="16"/>
          <w:szCs w:val="16"/>
        </w:rPr>
        <w:t>при определении значения критерия "вероятность", установленная ведомственным стандартом органа контроля.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 При определении значения критерия "существенность" используется следующая информация: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объемы финансового обеспечения деятельности объекта контро</w:t>
      </w:r>
      <w:r>
        <w:rPr>
          <w:rFonts w:ascii="Arial CYR" w:hAnsi="Arial CYR" w:cs="Arial CYR"/>
          <w:sz w:val="16"/>
          <w:szCs w:val="16"/>
        </w:rPr>
        <w:t>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</w:t>
      </w:r>
      <w:r>
        <w:rPr>
          <w:rFonts w:ascii="Arial CYR" w:hAnsi="Arial CYR" w:cs="Arial CYR"/>
          <w:sz w:val="16"/>
          <w:szCs w:val="16"/>
        </w:rPr>
        <w:t>ия дефицита бюджета;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значимость мероприятий (мер государственной (муниципальной) поддержки), в отношении которых возможно проведение контрольного мероприятия;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величина объема принятых обязательств объекта контроля и (или) его соотношения к объему фин</w:t>
      </w:r>
      <w:r>
        <w:rPr>
          <w:rFonts w:ascii="Arial CYR" w:hAnsi="Arial CYR" w:cs="Arial CYR"/>
          <w:sz w:val="16"/>
          <w:szCs w:val="16"/>
        </w:rPr>
        <w:t>ансового обеспечения деятельности объекта контроля;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г) осуществление объектом контроля закупок товаров, работ, услуг для обеспечения государственных (муниципальных) нужд, соответствующих следующим параметрам: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осуществление закупки товаров, работ, услуг для</w:t>
      </w:r>
      <w:r>
        <w:rPr>
          <w:rFonts w:ascii="Arial CYR" w:hAnsi="Arial CYR" w:cs="Arial CYR"/>
          <w:sz w:val="16"/>
          <w:szCs w:val="16"/>
        </w:rPr>
        <w:t xml:space="preserve"> обеспечения государственных (муниципальных) нужд у единственного </w:t>
      </w:r>
      <w:r>
        <w:rPr>
          <w:rFonts w:ascii="Arial CYR" w:hAnsi="Arial CYR" w:cs="Arial CYR"/>
          <w:sz w:val="16"/>
          <w:szCs w:val="16"/>
        </w:rPr>
        <w:lastRenderedPageBreak/>
        <w:t xml:space="preserve">поставщика по причине несостоявшейся конкурентной процедуры или на основании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пунктов 2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9 части 1 статьи 93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"О ко</w:t>
      </w:r>
      <w:r>
        <w:rPr>
          <w:rFonts w:ascii="Arial CYR" w:hAnsi="Arial CYR" w:cs="Arial CYR"/>
          <w:sz w:val="16"/>
          <w:szCs w:val="16"/>
        </w:rPr>
        <w:t>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наличие условия об исполнении контракта по этапам;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наличие условия о выплате аванса;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заключение контракта по результатам повторной закупки при ус</w:t>
      </w:r>
      <w:r>
        <w:rPr>
          <w:rFonts w:ascii="Arial CYR" w:hAnsi="Arial CYR" w:cs="Arial CYR"/>
          <w:sz w:val="16"/>
          <w:szCs w:val="16"/>
        </w:rPr>
        <w:t>ловии расторжения первоначального контракта по соглашению сторон;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д) иная информация, необходимая при определении значения критерия "существенность", установленная ведомственным стандартом органа контроля.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11. При определении значения критерия "вероятность</w:t>
      </w:r>
      <w:r>
        <w:rPr>
          <w:rFonts w:ascii="Arial CYR" w:hAnsi="Arial CYR" w:cs="Arial CYR"/>
          <w:sz w:val="16"/>
          <w:szCs w:val="16"/>
        </w:rPr>
        <w:t xml:space="preserve">" и значения критерия "существенность" используется шкала оценок - "низкая оценка", "средняя оценка" или "высокая оценка". На основании анализа рисков - сочетания критерия "вероятность" и критерия "существенность" и определения их значения по шкале оценок </w:t>
      </w:r>
      <w:r>
        <w:rPr>
          <w:rFonts w:ascii="Arial CYR" w:hAnsi="Arial CYR" w:cs="Arial CYR"/>
          <w:sz w:val="16"/>
          <w:szCs w:val="16"/>
        </w:rPr>
        <w:t>каждому предмету контроля и объекту контроля присваивается одна из следующих категорий риска: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чрезвычайно высокий риск - I категория, если значение критерия "существенность" и значение критерия "вероятность" определяются по шкале оценок как "высокая оценка</w:t>
      </w:r>
      <w:r>
        <w:rPr>
          <w:rFonts w:ascii="Arial CYR" w:hAnsi="Arial CYR" w:cs="Arial CYR"/>
          <w:sz w:val="16"/>
          <w:szCs w:val="16"/>
        </w:rPr>
        <w:t>";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высокий риск - 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значительный риск - III категория, если значение</w:t>
      </w:r>
      <w:r>
        <w:rPr>
          <w:rFonts w:ascii="Arial CYR" w:hAnsi="Arial CYR" w:cs="Arial CYR"/>
          <w:sz w:val="16"/>
          <w:szCs w:val="16"/>
        </w:rPr>
        <w:t xml:space="preserve">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</w:t>
      </w:r>
      <w:r>
        <w:rPr>
          <w:rFonts w:ascii="Arial CYR" w:hAnsi="Arial CYR" w:cs="Arial CYR"/>
          <w:sz w:val="16"/>
          <w:szCs w:val="16"/>
        </w:rPr>
        <w:t>чение критерия "вероятность" определяется по шкале оценок как "высокая оценка";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средний риск - IV категория, если значение критерия "существенность" и значение критерия "вероятность" определяются по шкале оценок как "средняя оценка" или значение критерия "</w:t>
      </w:r>
      <w:r>
        <w:rPr>
          <w:rFonts w:ascii="Arial CYR" w:hAnsi="Arial CYR" w:cs="Arial CYR"/>
          <w:sz w:val="16"/>
          <w:szCs w:val="16"/>
        </w:rPr>
        <w:t>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умеренный риск - V категория, если значение критерия "существенность" определяется по шкале оценок как "с</w:t>
      </w:r>
      <w:r>
        <w:rPr>
          <w:rFonts w:ascii="Arial CYR" w:hAnsi="Arial CYR" w:cs="Arial CYR"/>
          <w:sz w:val="16"/>
          <w:szCs w:val="16"/>
        </w:rPr>
        <w:t>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</w:t>
      </w:r>
      <w:r>
        <w:rPr>
          <w:rFonts w:ascii="Arial CYR" w:hAnsi="Arial CYR" w:cs="Arial CYR"/>
          <w:sz w:val="16"/>
          <w:szCs w:val="16"/>
        </w:rPr>
        <w:t>средняя оценка";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низкий риск - VI 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12. В случае если объекты контроля имеют одинаковые значения критерия "вероятность" и к</w:t>
      </w:r>
      <w:r>
        <w:rPr>
          <w:rFonts w:ascii="Arial CYR" w:hAnsi="Arial CYR" w:cs="Arial CYR"/>
          <w:sz w:val="16"/>
          <w:szCs w:val="16"/>
        </w:rPr>
        <w:t xml:space="preserve">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</w:t>
      </w:r>
      <w:r>
        <w:rPr>
          <w:rFonts w:ascii="Arial CYR" w:hAnsi="Arial CYR" w:cs="Arial CYR"/>
          <w:sz w:val="16"/>
          <w:szCs w:val="16"/>
        </w:rPr>
        <w:t>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13. К типовым темам плановых контрольных мероприятий относятся: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проверка осуществления расх</w:t>
      </w:r>
      <w:r>
        <w:rPr>
          <w:rFonts w:ascii="Arial CYR" w:hAnsi="Arial CYR" w:cs="Arial CYR"/>
          <w:sz w:val="16"/>
          <w:szCs w:val="16"/>
        </w:rPr>
        <w:t>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проверка осуществления расходов бюджета публично-правового образования на реализацию мер</w:t>
      </w:r>
      <w:r>
        <w:rPr>
          <w:rFonts w:ascii="Arial CYR" w:hAnsi="Arial CYR" w:cs="Arial CYR"/>
          <w:sz w:val="16"/>
          <w:szCs w:val="16"/>
        </w:rPr>
        <w:t>оприятий государственной (муниципальной) программы (подпрограммы, целевой программы);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в)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</w:t>
      </w:r>
      <w:r>
        <w:rPr>
          <w:rFonts w:ascii="Arial CYR" w:hAnsi="Arial CYR" w:cs="Arial CYR"/>
          <w:sz w:val="16"/>
          <w:szCs w:val="16"/>
        </w:rPr>
        <w:t>бухгалтерском учете и бухгалтерской (финансовой) отчетности;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г) 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</w:t>
      </w:r>
      <w:r>
        <w:rPr>
          <w:rFonts w:ascii="Arial CYR" w:hAnsi="Arial CYR" w:cs="Arial CYR"/>
          <w:sz w:val="16"/>
          <w:szCs w:val="16"/>
        </w:rPr>
        <w:t>лицам - производителям товаров, работ, услуг и (или) соблюдения условий соглашений (договоров) об их предоставлении;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д) проверка осуществления бюджетных инвестиций;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е) проверка соблюдения целей, порядка и условий предоставления межбюджетной субсидии или су</w:t>
      </w:r>
      <w:r>
        <w:rPr>
          <w:rFonts w:ascii="Arial CYR" w:hAnsi="Arial CYR" w:cs="Arial CYR"/>
          <w:sz w:val="16"/>
          <w:szCs w:val="16"/>
        </w:rPr>
        <w:t>бвенции либо иного межбюджетного трансферта, имеющего целевое назначение;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ж) проверка предоставления и использования средств, предоставленных в виде взноса в уставный капитал юридических лиц;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з) проверка исполнения соглашений о предоставлении бюджетных кре</w:t>
      </w:r>
      <w:r>
        <w:rPr>
          <w:rFonts w:ascii="Arial CYR" w:hAnsi="Arial CYR" w:cs="Arial CYR"/>
          <w:sz w:val="16"/>
          <w:szCs w:val="16"/>
        </w:rPr>
        <w:t>дитов;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и) проверка использования средств государственного внебюджетного фонда;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к) проверка использования средств, предоставленных юридическим лицам из бюджета государственного внебюджетного фонда по договорам о финансовом обеспечении обязательного медицинс</w:t>
      </w:r>
      <w:r>
        <w:rPr>
          <w:rFonts w:ascii="Arial CYR" w:hAnsi="Arial CYR" w:cs="Arial CYR"/>
          <w:sz w:val="16"/>
          <w:szCs w:val="16"/>
        </w:rPr>
        <w:t>кого страхования;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л)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</w:t>
      </w:r>
      <w:r>
        <w:rPr>
          <w:rFonts w:ascii="Arial CYR" w:hAnsi="Arial CYR" w:cs="Arial CYR"/>
          <w:sz w:val="16"/>
          <w:szCs w:val="16"/>
        </w:rPr>
        <w:t>ния федеральных нужд (нужд соответствующего субъекта Российской Федерации и муниципальных нужд);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м) 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</w:t>
      </w:r>
      <w:r>
        <w:rPr>
          <w:rFonts w:ascii="Arial CYR" w:hAnsi="Arial CYR" w:cs="Arial CYR"/>
          <w:sz w:val="16"/>
          <w:szCs w:val="16"/>
        </w:rPr>
        <w:t>ета о достижении показателей результативности;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н) 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</w:t>
      </w:r>
      <w:r>
        <w:rPr>
          <w:rFonts w:ascii="Arial CYR" w:hAnsi="Arial CYR" w:cs="Arial CYR"/>
          <w:sz w:val="16"/>
          <w:szCs w:val="16"/>
        </w:rPr>
        <w:t>венного внебюджетного фонда Российской Федерации);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о) проверка (ревизия) финансово-хозяйственной деятельности объекта контроля;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п) проверка соблюдения условий договоров (соглашений) с кредитными организациями, осуществляющими отдельные операции с бюджетным</w:t>
      </w:r>
      <w:r>
        <w:rPr>
          <w:rFonts w:ascii="Arial CYR" w:hAnsi="Arial CYR" w:cs="Arial CYR"/>
          <w:sz w:val="16"/>
          <w:szCs w:val="16"/>
        </w:rPr>
        <w:t>и средствами;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р) проверка использования средств кредита (займа), обеспеченного государственной (муниципальной) гарантией.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14. Орган контроля вправе разработать ведомственный стандарт, определяющий требования к анализу рисков, который предусматривает перечн</w:t>
      </w:r>
      <w:r>
        <w:rPr>
          <w:rFonts w:ascii="Arial CYR" w:hAnsi="Arial CYR" w:cs="Arial CYR"/>
          <w:sz w:val="16"/>
          <w:szCs w:val="16"/>
        </w:rPr>
        <w:t>и иной информации для определения значения критерия "вероятность" и значения критерия "существенность" и определяет дополнительные значения шкалы оценок значения критерия "существенность" и значения критерия "вероятность" для целей установления дополнитель</w:t>
      </w:r>
      <w:r>
        <w:rPr>
          <w:rFonts w:ascii="Arial CYR" w:hAnsi="Arial CYR" w:cs="Arial CYR"/>
          <w:sz w:val="16"/>
          <w:szCs w:val="16"/>
        </w:rPr>
        <w:t>ных категорий риска, присваиваемых объекту контроля и предмету контроля при составлении проекта плана контрольных мероприятий с применением риск-ориентированного подхода.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Ведомственным стандартом органа контроля могут быть предусмотрены типовые темы планов</w:t>
      </w:r>
      <w:r>
        <w:rPr>
          <w:rFonts w:ascii="Arial CYR" w:hAnsi="Arial CYR" w:cs="Arial CYR"/>
          <w:sz w:val="16"/>
          <w:szCs w:val="16"/>
        </w:rPr>
        <w:t xml:space="preserve">ых контрольных мероприятий, являющиеся детализацией предусмотренных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13</w:t>
        </w:r>
      </w:hyperlink>
      <w:r>
        <w:rPr>
          <w:rFonts w:ascii="Arial CYR" w:hAnsi="Arial CYR" w:cs="Arial CYR"/>
          <w:sz w:val="16"/>
          <w:szCs w:val="16"/>
        </w:rPr>
        <w:t xml:space="preserve"> стандарта типовых тем контрольных мероприятий в части предмета контроля и (или) указания на объекты контроля в соответствии со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статьей 266.1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Федерации.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 составлении проекта плана контрольных мероприятий в рамках одного </w:t>
      </w:r>
      <w:r>
        <w:rPr>
          <w:rFonts w:ascii="Arial CYR" w:hAnsi="Arial CYR" w:cs="Arial CYR"/>
          <w:sz w:val="16"/>
          <w:szCs w:val="16"/>
        </w:rPr>
        <w:t xml:space="preserve">контрольного мероприятия может быть использовано несколько типовых тем плановых контрольных мероприятий, указанных в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13</w:t>
        </w:r>
      </w:hyperlink>
      <w:r>
        <w:rPr>
          <w:rFonts w:ascii="Arial CYR" w:hAnsi="Arial CYR" w:cs="Arial CYR"/>
          <w:sz w:val="16"/>
          <w:szCs w:val="16"/>
        </w:rPr>
        <w:t xml:space="preserve"> стандарта и в ведомственном стандарте органа контроля.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15. Определение предельного количества контрольных</w:t>
      </w:r>
      <w:r>
        <w:rPr>
          <w:rFonts w:ascii="Arial CYR" w:hAnsi="Arial CYR" w:cs="Arial CYR"/>
          <w:sz w:val="16"/>
          <w:szCs w:val="16"/>
        </w:rPr>
        <w:t xml:space="preserve"> мероприятий в проекте плана контрольных мероприятий осуществляется на основании следующих факторов: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выделение резерва временных и</w:t>
      </w:r>
      <w:r>
        <w:rPr>
          <w:rFonts w:ascii="Arial CYR" w:hAnsi="Arial CYR" w:cs="Arial CYR"/>
          <w:sz w:val="16"/>
          <w:szCs w:val="16"/>
        </w:rPr>
        <w:t xml:space="preserve">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</w:t>
      </w:r>
      <w:r>
        <w:rPr>
          <w:rFonts w:ascii="Arial CYR" w:hAnsi="Arial CYR" w:cs="Arial CYR"/>
          <w:sz w:val="16"/>
          <w:szCs w:val="16"/>
        </w:rPr>
        <w:t>редшествующие году составления проекта плана контрольной деятельности (1 - 2 года).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16. При определении количества контрольных мероприятий, включаемых в проект плана контрольных мероприятий, составляемый с применением риск-ориентированного подхода, учитыва</w:t>
      </w:r>
      <w:r>
        <w:rPr>
          <w:rFonts w:ascii="Arial CYR" w:hAnsi="Arial CYR" w:cs="Arial CYR"/>
          <w:sz w:val="16"/>
          <w:szCs w:val="16"/>
        </w:rPr>
        <w:t>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Федерации, Правительства Российской Федерации, высшего должностного лица субъекта Российской Ф</w:t>
      </w:r>
      <w:r>
        <w:rPr>
          <w:rFonts w:ascii="Arial CYR" w:hAnsi="Arial CYR" w:cs="Arial CYR"/>
          <w:sz w:val="16"/>
          <w:szCs w:val="16"/>
        </w:rPr>
        <w:t>едерации (муниципального образования), высшего исполнительного органа государственной власти (местной администрации) соответственно. Контрольные мероприятия на основании обращений (поручений) иных органов и организаций включаются в проект плана контрольных</w:t>
      </w:r>
      <w:r>
        <w:rPr>
          <w:rFonts w:ascii="Arial CYR" w:hAnsi="Arial CYR" w:cs="Arial CYR"/>
          <w:sz w:val="16"/>
          <w:szCs w:val="16"/>
        </w:rPr>
        <w:t xml:space="preserve">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17. План контрольных мероприятий должен быть утвержден до </w:t>
      </w:r>
      <w:r>
        <w:rPr>
          <w:rFonts w:ascii="Arial CYR" w:hAnsi="Arial CYR" w:cs="Arial CYR"/>
          <w:sz w:val="16"/>
          <w:szCs w:val="16"/>
        </w:rPr>
        <w:t>завершения года, предшествующего планируемому году.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18. 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наступлением обстоятельств непреодолимой силы (чрез</w:t>
      </w:r>
      <w:r>
        <w:rPr>
          <w:rFonts w:ascii="Arial CYR" w:hAnsi="Arial CYR" w:cs="Arial CYR"/>
          <w:sz w:val="16"/>
          <w:szCs w:val="16"/>
        </w:rPr>
        <w:t>вычайных и непредотвратимых при наступивших условиях обстоятельств);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внесением изменений в законодательные и иные нормативные правовые ак</w:t>
      </w:r>
      <w:r>
        <w:rPr>
          <w:rFonts w:ascii="Arial CYR" w:hAnsi="Arial CYR" w:cs="Arial CYR"/>
          <w:sz w:val="16"/>
          <w:szCs w:val="16"/>
        </w:rPr>
        <w:t>ты Российской Федерации, нормативные правовые акты субъектов Российской Федерации и муниципальные правовые акты;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</w:t>
      </w:r>
      <w:r>
        <w:rPr>
          <w:rFonts w:ascii="Arial CYR" w:hAnsi="Arial CYR" w:cs="Arial CYR"/>
          <w:sz w:val="16"/>
          <w:szCs w:val="16"/>
        </w:rPr>
        <w:t xml:space="preserve">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</w:t>
      </w:r>
      <w:r>
        <w:rPr>
          <w:rFonts w:ascii="Arial CYR" w:hAnsi="Arial CYR" w:cs="Arial CYR"/>
          <w:sz w:val="16"/>
          <w:szCs w:val="16"/>
        </w:rPr>
        <w:t>органа контроля, ответственных за проведение контрольного мероприятия);</w:t>
      </w:r>
    </w:p>
    <w:p w:rsidR="00000000" w:rsidRDefault="00037B85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реорганизацией, ликвидацией объектов контроля.</w:t>
      </w: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03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37B85" w:rsidRDefault="00037B8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037B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E0"/>
    <w:rsid w:val="00037B85"/>
    <w:rsid w:val="00A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174973973EF8FFDEAC7FFB4433D61CE8E7151AE2E1254AC393389BDB649F237993FA462F54F9AD6366874EF6E6CBD0FEE03B7331277XDM%20" TargetMode="External"/><Relationship Id="rId13" Type="http://schemas.openxmlformats.org/officeDocument/2006/relationships/hyperlink" Target="file:///C:\Users\&#1040;&#1076;&#1084;&#1080;&#1085;\Documents\l%20Par8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cuments\l%20Par74" TargetMode="External"/><Relationship Id="rId12" Type="http://schemas.openxmlformats.org/officeDocument/2006/relationships/hyperlink" Target="consultantplus://offline/ref=78E174973973EF8FFDEAC7FFB4433D61CE8E7151AE2E1254AC393389BDB649F237993FA36CF5449AD6366874EF6E6CBD0FEE03B7331277XDM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cuments\l%20Par27" TargetMode="External"/><Relationship Id="rId11" Type="http://schemas.openxmlformats.org/officeDocument/2006/relationships/hyperlink" Target="file:///C:\Users\&#1040;&#1076;&#1084;&#1080;&#1085;\Documents\l%20Par82" TargetMode="External"/><Relationship Id="rId5" Type="http://schemas.openxmlformats.org/officeDocument/2006/relationships/hyperlink" Target="consultantplus://offline/ref=78E174973973EF8FFDEAC7FFB4433D61CE8E7151AE2E1254AC393389BDB649F237993FA56DFB409AD6366874EF6E6CBD0FEE03B7331277XDM%2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E174973973EF8FFDEAC7FFB4433D61CE8F7454AA231254AC393389BDB649F237993FA963F44CC5D323792CE16D72A308F71FB53171X0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174973973EF8FFDEAC7FFB4433D61CE8F7454AA231254AC393389BDB649F237993FA16BF2459AD6366874EF6E6CBD0FEE03B7331277XDM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2020-11-05T05:29:00Z</dcterms:created>
  <dcterms:modified xsi:type="dcterms:W3CDTF">2020-11-05T05:29:00Z</dcterms:modified>
</cp:coreProperties>
</file>