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D3" w:rsidRDefault="000453D3" w:rsidP="000453D3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1630A4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630A4" w:rsidRDefault="001630A4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1630A4" w:rsidRDefault="001630A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1630A4" w:rsidRDefault="001630A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1630A4" w:rsidRDefault="001630A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227</w:t>
                        </w:r>
                      </w:p>
                      <w:p w:rsidR="001630A4" w:rsidRDefault="001630A4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14  июня</w:t>
                        </w:r>
                      </w:p>
                      <w:p w:rsidR="001630A4" w:rsidRDefault="001630A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1630A4" w:rsidRDefault="001630A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1630A4" w:rsidRDefault="001630A4" w:rsidP="000453D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53D3" w:rsidRDefault="000453D3" w:rsidP="000453D3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0453D3" w:rsidRDefault="000453D3" w:rsidP="000453D3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0453D3" w:rsidRDefault="000453D3" w:rsidP="000453D3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0453D3" w:rsidRDefault="000453D3" w:rsidP="000453D3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0453D3" w:rsidRDefault="000453D3" w:rsidP="000453D3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0453D3" w:rsidRDefault="000453D3" w:rsidP="000453D3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453D3" w:rsidRDefault="000453D3" w:rsidP="000453D3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0453D3" w:rsidRDefault="000453D3" w:rsidP="000453D3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0453D3" w:rsidRDefault="000453D3" w:rsidP="000453D3">
      <w:pPr>
        <w:jc w:val="center"/>
        <w:rPr>
          <w:sz w:val="20"/>
          <w:szCs w:val="20"/>
        </w:rPr>
      </w:pPr>
    </w:p>
    <w:p w:rsidR="000453D3" w:rsidRDefault="000453D3" w:rsidP="000453D3">
      <w:pPr>
        <w:pStyle w:val="1"/>
        <w:tabs>
          <w:tab w:val="clear" w:pos="432"/>
          <w:tab w:val="left" w:pos="708"/>
        </w:tabs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 С Т А Н О В Л Е Н И Е</w:t>
      </w:r>
    </w:p>
    <w:p w:rsidR="000453D3" w:rsidRPr="000453D3" w:rsidRDefault="000453D3" w:rsidP="000453D3">
      <w:pPr>
        <w:rPr>
          <w:sz w:val="20"/>
          <w:szCs w:val="20"/>
        </w:rPr>
      </w:pPr>
      <w:r w:rsidRPr="000453D3">
        <w:rPr>
          <w:sz w:val="20"/>
          <w:szCs w:val="20"/>
        </w:rPr>
        <w:t xml:space="preserve">   «05» июня  2019 г.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0453D3">
        <w:rPr>
          <w:sz w:val="20"/>
          <w:szCs w:val="20"/>
        </w:rPr>
        <w:t xml:space="preserve"> № 202</w:t>
      </w:r>
    </w:p>
    <w:p w:rsidR="000453D3" w:rsidRPr="000453D3" w:rsidRDefault="000453D3" w:rsidP="000453D3">
      <w:pPr>
        <w:rPr>
          <w:sz w:val="20"/>
          <w:szCs w:val="20"/>
        </w:rPr>
      </w:pPr>
    </w:p>
    <w:p w:rsidR="000453D3" w:rsidRPr="000453D3" w:rsidRDefault="000453D3" w:rsidP="000453D3">
      <w:pPr>
        <w:rPr>
          <w:sz w:val="20"/>
          <w:szCs w:val="20"/>
        </w:rPr>
      </w:pPr>
      <w:r w:rsidRPr="000453D3">
        <w:rPr>
          <w:sz w:val="20"/>
          <w:szCs w:val="20"/>
        </w:rPr>
        <w:t>Об утверждении  Плана мероприятий («Дорожная карта»)</w:t>
      </w:r>
    </w:p>
    <w:p w:rsidR="000453D3" w:rsidRPr="000453D3" w:rsidRDefault="000453D3" w:rsidP="000453D3">
      <w:pPr>
        <w:rPr>
          <w:sz w:val="20"/>
          <w:szCs w:val="20"/>
        </w:rPr>
      </w:pPr>
      <w:r w:rsidRPr="000453D3">
        <w:rPr>
          <w:sz w:val="20"/>
          <w:szCs w:val="20"/>
        </w:rPr>
        <w:t xml:space="preserve"> по реализации региональных проектов</w:t>
      </w:r>
    </w:p>
    <w:p w:rsidR="000453D3" w:rsidRPr="000453D3" w:rsidRDefault="000453D3" w:rsidP="000453D3">
      <w:pPr>
        <w:rPr>
          <w:sz w:val="20"/>
          <w:szCs w:val="20"/>
        </w:rPr>
      </w:pPr>
      <w:r w:rsidRPr="000453D3">
        <w:rPr>
          <w:sz w:val="20"/>
          <w:szCs w:val="20"/>
        </w:rPr>
        <w:t xml:space="preserve"> национального проекта «Образование».</w:t>
      </w:r>
    </w:p>
    <w:p w:rsidR="000453D3" w:rsidRPr="000453D3" w:rsidRDefault="000453D3" w:rsidP="000453D3">
      <w:pPr>
        <w:tabs>
          <w:tab w:val="left" w:pos="0"/>
        </w:tabs>
        <w:jc w:val="both"/>
        <w:rPr>
          <w:sz w:val="20"/>
          <w:szCs w:val="20"/>
        </w:rPr>
      </w:pPr>
    </w:p>
    <w:p w:rsidR="000453D3" w:rsidRPr="000453D3" w:rsidRDefault="000453D3" w:rsidP="000453D3">
      <w:pPr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</w:t>
      </w:r>
      <w:proofErr w:type="gramStart"/>
      <w:r w:rsidRPr="000453D3">
        <w:rPr>
          <w:sz w:val="20"/>
          <w:szCs w:val="20"/>
        </w:rPr>
        <w:t>На основании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24 декабря 2018 года № 16,  региональных проектов «Содействие занятости женщин – создание условий дошкольного образования для детей в возрасте до трех лет (Доступность дошкольного образования)» национального проекта «Демография», «Современная школа», «Успех каждого ребенка», «Поддержка семей имеющих детей», «Цифровая образовательная среда</w:t>
      </w:r>
      <w:proofErr w:type="gramEnd"/>
      <w:r w:rsidRPr="000453D3">
        <w:rPr>
          <w:sz w:val="20"/>
          <w:szCs w:val="20"/>
        </w:rPr>
        <w:t xml:space="preserve">», «Учитель будущего» национального проекта «Образование», руководствуясь Уставом, администрация Кадыйского муниципального района  </w:t>
      </w:r>
      <w:r w:rsidRPr="000453D3">
        <w:rPr>
          <w:b/>
          <w:bCs/>
          <w:sz w:val="20"/>
          <w:szCs w:val="20"/>
        </w:rPr>
        <w:t>ПОСТАНОВЛЯЕТ:</w:t>
      </w:r>
    </w:p>
    <w:p w:rsidR="000453D3" w:rsidRPr="000453D3" w:rsidRDefault="000453D3" w:rsidP="000453D3">
      <w:pPr>
        <w:jc w:val="both"/>
        <w:rPr>
          <w:sz w:val="20"/>
          <w:szCs w:val="20"/>
        </w:rPr>
      </w:pPr>
    </w:p>
    <w:p w:rsidR="000453D3" w:rsidRPr="000453D3" w:rsidRDefault="000453D3" w:rsidP="000453D3">
      <w:pPr>
        <w:jc w:val="both"/>
        <w:rPr>
          <w:sz w:val="20"/>
          <w:szCs w:val="20"/>
        </w:rPr>
      </w:pPr>
      <w:r w:rsidRPr="000453D3">
        <w:rPr>
          <w:sz w:val="20"/>
          <w:szCs w:val="20"/>
        </w:rPr>
        <w:t>1.Утвердить план мероприятий ("Дорожная карта") по реализации региональных проектов  национального проекта «Образование» (приложение).</w:t>
      </w:r>
    </w:p>
    <w:p w:rsidR="000453D3" w:rsidRPr="000453D3" w:rsidRDefault="000453D3" w:rsidP="000453D3">
      <w:pPr>
        <w:widowControl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2.Отделу образования администрации муниципального района (Антонова М.Л.), обеспечить реализацию Плана мероприятий ("Дорожная  карта") по реализации региональных проектов  национального проекта «Образование». </w:t>
      </w:r>
    </w:p>
    <w:p w:rsidR="000453D3" w:rsidRPr="000453D3" w:rsidRDefault="000453D3" w:rsidP="000453D3">
      <w:pPr>
        <w:widowControl/>
        <w:jc w:val="both"/>
        <w:rPr>
          <w:sz w:val="20"/>
          <w:szCs w:val="20"/>
        </w:rPr>
      </w:pPr>
      <w:r w:rsidRPr="000453D3">
        <w:rPr>
          <w:sz w:val="20"/>
          <w:szCs w:val="20"/>
        </w:rPr>
        <w:t>3.</w:t>
      </w:r>
      <w:proofErr w:type="gramStart"/>
      <w:r w:rsidRPr="000453D3">
        <w:rPr>
          <w:sz w:val="20"/>
          <w:szCs w:val="20"/>
        </w:rPr>
        <w:t>Контроль за</w:t>
      </w:r>
      <w:proofErr w:type="gramEnd"/>
      <w:r w:rsidRPr="000453D3">
        <w:rPr>
          <w:sz w:val="20"/>
          <w:szCs w:val="20"/>
        </w:rPr>
        <w:t xml:space="preserve"> исполнением постановления возложить на заместителя главы администрации  по социальным  вопросам.</w:t>
      </w:r>
    </w:p>
    <w:p w:rsidR="000453D3" w:rsidRPr="000453D3" w:rsidRDefault="000453D3" w:rsidP="000453D3">
      <w:pPr>
        <w:widowControl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4.Постановление вступает в силу со дня подписания. </w:t>
      </w:r>
    </w:p>
    <w:p w:rsidR="000453D3" w:rsidRPr="000453D3" w:rsidRDefault="000453D3" w:rsidP="000453D3">
      <w:pPr>
        <w:rPr>
          <w:sz w:val="20"/>
          <w:szCs w:val="20"/>
        </w:rPr>
      </w:pPr>
    </w:p>
    <w:p w:rsidR="000453D3" w:rsidRPr="000453D3" w:rsidRDefault="000453D3" w:rsidP="000453D3">
      <w:pPr>
        <w:pStyle w:val="2"/>
        <w:keepLines w:val="0"/>
        <w:widowControl/>
        <w:numPr>
          <w:ilvl w:val="1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453D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Глава администрации </w:t>
      </w:r>
    </w:p>
    <w:p w:rsidR="000453D3" w:rsidRPr="000453D3" w:rsidRDefault="000453D3" w:rsidP="000453D3">
      <w:pPr>
        <w:pStyle w:val="2"/>
        <w:keepLines w:val="0"/>
        <w:widowControl/>
        <w:numPr>
          <w:ilvl w:val="1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453D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Кадыйского муниципального рай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она   </w:t>
      </w:r>
      <w:r w:rsidRPr="000453D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В.В. Зайцев</w:t>
      </w:r>
    </w:p>
    <w:p w:rsidR="000453D3" w:rsidRPr="000453D3" w:rsidRDefault="000453D3" w:rsidP="000453D3">
      <w:pPr>
        <w:rPr>
          <w:sz w:val="20"/>
          <w:szCs w:val="20"/>
          <w:lang w:eastAsia="ar-SA"/>
        </w:rPr>
      </w:pPr>
    </w:p>
    <w:p w:rsidR="000453D3" w:rsidRPr="000453D3" w:rsidRDefault="000453D3" w:rsidP="000453D3">
      <w:pPr>
        <w:rPr>
          <w:sz w:val="20"/>
          <w:szCs w:val="20"/>
          <w:lang w:eastAsia="ar-SA"/>
        </w:rPr>
      </w:pPr>
    </w:p>
    <w:p w:rsidR="000453D3" w:rsidRPr="000453D3" w:rsidRDefault="000453D3" w:rsidP="000453D3">
      <w:pPr>
        <w:rPr>
          <w:sz w:val="20"/>
          <w:szCs w:val="20"/>
          <w:lang w:eastAsia="ar-SA"/>
        </w:rPr>
      </w:pPr>
    </w:p>
    <w:p w:rsidR="000453D3" w:rsidRPr="000453D3" w:rsidRDefault="000453D3" w:rsidP="000453D3">
      <w:pPr>
        <w:rPr>
          <w:sz w:val="20"/>
          <w:szCs w:val="20"/>
          <w:lang w:eastAsia="ar-SA"/>
        </w:rPr>
      </w:pPr>
    </w:p>
    <w:p w:rsidR="000453D3" w:rsidRPr="000453D3" w:rsidRDefault="000453D3" w:rsidP="000453D3">
      <w:pPr>
        <w:rPr>
          <w:sz w:val="20"/>
          <w:szCs w:val="20"/>
          <w:lang w:eastAsia="ar-SA"/>
        </w:rPr>
      </w:pPr>
    </w:p>
    <w:p w:rsidR="000453D3" w:rsidRPr="000453D3" w:rsidRDefault="000453D3" w:rsidP="000453D3">
      <w:pPr>
        <w:rPr>
          <w:sz w:val="20"/>
          <w:szCs w:val="20"/>
          <w:lang w:eastAsia="ar-SA"/>
        </w:rPr>
      </w:pPr>
    </w:p>
    <w:p w:rsidR="000453D3" w:rsidRPr="000453D3" w:rsidRDefault="000453D3" w:rsidP="000453D3">
      <w:pPr>
        <w:rPr>
          <w:sz w:val="20"/>
          <w:szCs w:val="20"/>
        </w:rPr>
      </w:pPr>
    </w:p>
    <w:p w:rsidR="000453D3" w:rsidRPr="000453D3" w:rsidRDefault="000453D3" w:rsidP="000453D3">
      <w:pPr>
        <w:rPr>
          <w:sz w:val="20"/>
          <w:szCs w:val="20"/>
        </w:rPr>
        <w:sectPr w:rsidR="000453D3" w:rsidRPr="000453D3" w:rsidSect="000453D3">
          <w:footnotePr>
            <w:pos w:val="beneathText"/>
          </w:footnotePr>
          <w:pgSz w:w="11905" w:h="16837"/>
          <w:pgMar w:top="284" w:right="567" w:bottom="1134" w:left="1134" w:header="720" w:footer="720" w:gutter="0"/>
          <w:cols w:space="720"/>
          <w:docGrid w:linePitch="360"/>
        </w:sectPr>
      </w:pPr>
    </w:p>
    <w:p w:rsidR="000453D3" w:rsidRPr="000453D3" w:rsidRDefault="000453D3" w:rsidP="000453D3">
      <w:pPr>
        <w:jc w:val="right"/>
        <w:rPr>
          <w:sz w:val="20"/>
          <w:szCs w:val="20"/>
        </w:rPr>
      </w:pPr>
      <w:r w:rsidRPr="000453D3">
        <w:rPr>
          <w:sz w:val="20"/>
          <w:szCs w:val="20"/>
        </w:rPr>
        <w:lastRenderedPageBreak/>
        <w:t xml:space="preserve">Приложение </w:t>
      </w:r>
    </w:p>
    <w:p w:rsidR="000453D3" w:rsidRPr="000453D3" w:rsidRDefault="000453D3" w:rsidP="000453D3">
      <w:pPr>
        <w:jc w:val="right"/>
        <w:rPr>
          <w:sz w:val="20"/>
          <w:szCs w:val="20"/>
        </w:rPr>
      </w:pPr>
      <w:r w:rsidRPr="000453D3">
        <w:rPr>
          <w:sz w:val="20"/>
          <w:szCs w:val="20"/>
        </w:rPr>
        <w:t>Утверждено постановлением</w:t>
      </w:r>
    </w:p>
    <w:p w:rsidR="000453D3" w:rsidRPr="000453D3" w:rsidRDefault="000453D3" w:rsidP="000453D3">
      <w:pPr>
        <w:jc w:val="right"/>
        <w:rPr>
          <w:sz w:val="20"/>
          <w:szCs w:val="20"/>
        </w:rPr>
      </w:pPr>
      <w:r w:rsidRPr="000453D3">
        <w:rPr>
          <w:sz w:val="20"/>
          <w:szCs w:val="20"/>
        </w:rPr>
        <w:t>администрации Кадыйского муниципального района</w:t>
      </w:r>
    </w:p>
    <w:p w:rsidR="000453D3" w:rsidRPr="000453D3" w:rsidRDefault="000453D3" w:rsidP="000453D3">
      <w:pPr>
        <w:jc w:val="center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от  05</w:t>
      </w:r>
      <w:r w:rsidRPr="000453D3">
        <w:rPr>
          <w:sz w:val="20"/>
          <w:szCs w:val="20"/>
        </w:rPr>
        <w:t xml:space="preserve">  июня 2019 года    №</w:t>
      </w:r>
      <w:r>
        <w:rPr>
          <w:sz w:val="20"/>
          <w:szCs w:val="20"/>
        </w:rPr>
        <w:t xml:space="preserve"> 202</w:t>
      </w:r>
    </w:p>
    <w:p w:rsidR="000453D3" w:rsidRPr="000453D3" w:rsidRDefault="000453D3" w:rsidP="000453D3">
      <w:pPr>
        <w:jc w:val="center"/>
        <w:rPr>
          <w:sz w:val="20"/>
          <w:szCs w:val="20"/>
        </w:rPr>
      </w:pPr>
    </w:p>
    <w:p w:rsidR="000453D3" w:rsidRPr="000453D3" w:rsidRDefault="000453D3" w:rsidP="000453D3">
      <w:pPr>
        <w:jc w:val="center"/>
        <w:rPr>
          <w:sz w:val="20"/>
          <w:szCs w:val="20"/>
        </w:rPr>
      </w:pPr>
      <w:r w:rsidRPr="000453D3">
        <w:rPr>
          <w:b/>
          <w:bCs/>
          <w:sz w:val="20"/>
          <w:szCs w:val="20"/>
        </w:rPr>
        <w:t xml:space="preserve">План мероприятий ("Дорожная карта") </w:t>
      </w:r>
      <w:r w:rsidRPr="000453D3">
        <w:rPr>
          <w:sz w:val="20"/>
          <w:szCs w:val="20"/>
        </w:rPr>
        <w:t>по реализации региональных проектов  национального проекта «Образование»</w:t>
      </w:r>
    </w:p>
    <w:p w:rsidR="000453D3" w:rsidRPr="000453D3" w:rsidRDefault="000453D3" w:rsidP="000453D3">
      <w:pPr>
        <w:jc w:val="center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453D3" w:rsidRPr="000453D3" w:rsidRDefault="000453D3" w:rsidP="000453D3">
      <w:pPr>
        <w:jc w:val="center"/>
        <w:rPr>
          <w:b/>
          <w:bCs/>
          <w:sz w:val="20"/>
          <w:szCs w:val="20"/>
        </w:rPr>
      </w:pPr>
      <w:r w:rsidRPr="000453D3">
        <w:rPr>
          <w:sz w:val="20"/>
          <w:szCs w:val="20"/>
        </w:rPr>
        <w:tab/>
      </w:r>
      <w:r w:rsidRPr="000453D3">
        <w:rPr>
          <w:b/>
          <w:bCs/>
          <w:sz w:val="20"/>
          <w:szCs w:val="20"/>
        </w:rPr>
        <w:t xml:space="preserve">Показатели. </w:t>
      </w:r>
    </w:p>
    <w:p w:rsidR="000453D3" w:rsidRPr="000453D3" w:rsidRDefault="000453D3" w:rsidP="000453D3">
      <w:pPr>
        <w:jc w:val="center"/>
        <w:rPr>
          <w:sz w:val="20"/>
          <w:szCs w:val="20"/>
        </w:rPr>
      </w:pPr>
    </w:p>
    <w:tbl>
      <w:tblPr>
        <w:tblW w:w="14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4823"/>
        <w:gridCol w:w="1571"/>
        <w:gridCol w:w="1700"/>
        <w:gridCol w:w="1600"/>
        <w:gridCol w:w="1500"/>
        <w:gridCol w:w="1500"/>
        <w:gridCol w:w="1400"/>
      </w:tblGrid>
      <w:tr w:rsidR="000453D3" w:rsidRPr="000453D3" w:rsidTr="006527FA">
        <w:trPr>
          <w:trHeight w:val="477"/>
        </w:trPr>
        <w:tc>
          <w:tcPr>
            <w:tcW w:w="814" w:type="dxa"/>
            <w:vMerge w:val="restart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3" w:type="dxa"/>
            <w:vMerge w:val="restart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71" w:type="dxa"/>
            <w:gridSpan w:val="6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Период, год</w:t>
            </w:r>
          </w:p>
        </w:tc>
      </w:tr>
      <w:tr w:rsidR="000453D3" w:rsidRPr="000453D3" w:rsidTr="006527FA">
        <w:trPr>
          <w:trHeight w:val="541"/>
        </w:trPr>
        <w:tc>
          <w:tcPr>
            <w:tcW w:w="814" w:type="dxa"/>
            <w:vMerge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94" w:type="dxa"/>
            <w:gridSpan w:val="7"/>
          </w:tcPr>
          <w:p w:rsidR="000453D3" w:rsidRPr="000453D3" w:rsidRDefault="000453D3" w:rsidP="006527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23" w:type="dxa"/>
          </w:tcPr>
          <w:p w:rsidR="000453D3" w:rsidRPr="000453D3" w:rsidRDefault="000453D3" w:rsidP="000453D3">
            <w:pPr>
              <w:jc w:val="both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>Доступность дошкольного образования для детей в возрасте от 1,5 до 3-х лет.</w:t>
            </w: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96,83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94" w:type="dxa"/>
            <w:gridSpan w:val="7"/>
          </w:tcPr>
          <w:p w:rsidR="000453D3" w:rsidRPr="000453D3" w:rsidRDefault="000453D3" w:rsidP="006527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семей, имеющих детей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23" w:type="dxa"/>
          </w:tcPr>
          <w:p w:rsidR="000453D3" w:rsidRPr="000453D3" w:rsidRDefault="000453D3" w:rsidP="000453D3">
            <w:pPr>
              <w:jc w:val="both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>Количество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т.ч. с привлечением некоммерческих организаций, нарастающим итогом с 2019 г. в млн. единиц</w:t>
            </w: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453D3" w:rsidRPr="000453D3" w:rsidTr="000453D3">
        <w:trPr>
          <w:trHeight w:val="601"/>
        </w:trPr>
        <w:tc>
          <w:tcPr>
            <w:tcW w:w="814" w:type="dxa"/>
          </w:tcPr>
          <w:p w:rsidR="000453D3" w:rsidRPr="000453D3" w:rsidRDefault="000453D3" w:rsidP="000453D3">
            <w:pPr>
              <w:rPr>
                <w:sz w:val="20"/>
                <w:szCs w:val="20"/>
              </w:rPr>
            </w:pPr>
          </w:p>
          <w:p w:rsidR="000453D3" w:rsidRPr="000453D3" w:rsidRDefault="000453D3" w:rsidP="000453D3">
            <w:pPr>
              <w:jc w:val="center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>3.</w:t>
            </w:r>
          </w:p>
        </w:tc>
        <w:tc>
          <w:tcPr>
            <w:tcW w:w="14094" w:type="dxa"/>
            <w:gridSpan w:val="7"/>
          </w:tcPr>
          <w:p w:rsidR="000453D3" w:rsidRPr="000453D3" w:rsidRDefault="000453D3" w:rsidP="006527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23" w:type="dxa"/>
          </w:tcPr>
          <w:p w:rsidR="000453D3" w:rsidRPr="000453D3" w:rsidRDefault="000453D3" w:rsidP="000453D3">
            <w:pPr>
              <w:jc w:val="both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823" w:type="dxa"/>
          </w:tcPr>
          <w:p w:rsidR="000453D3" w:rsidRPr="000453D3" w:rsidRDefault="000453D3" w:rsidP="000453D3">
            <w:pPr>
              <w:jc w:val="both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профилей.</w:t>
            </w: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</w:tr>
      <w:tr w:rsidR="000453D3" w:rsidRPr="000453D3" w:rsidTr="006527FA">
        <w:trPr>
          <w:trHeight w:val="278"/>
        </w:trPr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94" w:type="dxa"/>
            <w:gridSpan w:val="7"/>
          </w:tcPr>
          <w:p w:rsidR="000453D3" w:rsidRPr="000453D3" w:rsidRDefault="000453D3" w:rsidP="006527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b/>
                <w:sz w:val="20"/>
                <w:szCs w:val="20"/>
              </w:rPr>
              <w:t>Успех каждого ребенка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23" w:type="dxa"/>
          </w:tcPr>
          <w:p w:rsidR="000453D3" w:rsidRPr="000453D3" w:rsidRDefault="000453D3" w:rsidP="000453D3">
            <w:pPr>
              <w:jc w:val="both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</w:t>
            </w:r>
            <w:r w:rsidRPr="000453D3">
              <w:rPr>
                <w:sz w:val="20"/>
                <w:szCs w:val="20"/>
              </w:rPr>
              <w:lastRenderedPageBreak/>
              <w:t>будущее», нарастающим итогом, человек.</w:t>
            </w: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342.</w:t>
            </w:r>
          </w:p>
        </w:tc>
        <w:tc>
          <w:tcPr>
            <w:tcW w:w="4823" w:type="dxa"/>
          </w:tcPr>
          <w:p w:rsidR="000453D3" w:rsidRPr="000453D3" w:rsidRDefault="000453D3" w:rsidP="000453D3">
            <w:pPr>
              <w:jc w:val="both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>Доля детей в возрасте от 5 до 18 лет, охваченных дополнительным образованием.</w:t>
            </w: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94" w:type="dxa"/>
            <w:gridSpan w:val="7"/>
          </w:tcPr>
          <w:p w:rsidR="000453D3" w:rsidRPr="000453D3" w:rsidRDefault="000453D3" w:rsidP="006527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будущего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23" w:type="dxa"/>
          </w:tcPr>
          <w:p w:rsidR="000453D3" w:rsidRPr="000453D3" w:rsidRDefault="000453D3" w:rsidP="000453D3">
            <w:pPr>
              <w:jc w:val="both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работников.</w:t>
            </w: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94" w:type="dxa"/>
            <w:gridSpan w:val="7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b/>
                <w:sz w:val="20"/>
                <w:szCs w:val="20"/>
              </w:rPr>
              <w:t>Цифровая образовательная среда</w:t>
            </w:r>
          </w:p>
        </w:tc>
      </w:tr>
      <w:tr w:rsidR="000453D3" w:rsidRPr="000453D3" w:rsidTr="000453D3">
        <w:tc>
          <w:tcPr>
            <w:tcW w:w="814" w:type="dxa"/>
          </w:tcPr>
          <w:p w:rsidR="000453D3" w:rsidRPr="000453D3" w:rsidRDefault="000453D3" w:rsidP="000453D3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823" w:type="dxa"/>
          </w:tcPr>
          <w:p w:rsidR="000453D3" w:rsidRPr="000453D3" w:rsidRDefault="000453D3" w:rsidP="000453D3">
            <w:pPr>
              <w:jc w:val="both"/>
              <w:rPr>
                <w:sz w:val="20"/>
                <w:szCs w:val="20"/>
              </w:rPr>
            </w:pPr>
            <w:r w:rsidRPr="000453D3">
              <w:rPr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1571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6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400" w:type="dxa"/>
          </w:tcPr>
          <w:p w:rsidR="000453D3" w:rsidRPr="000453D3" w:rsidRDefault="000453D3" w:rsidP="000453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453D3" w:rsidRPr="000453D3" w:rsidRDefault="000453D3" w:rsidP="000453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P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P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3D3" w:rsidRDefault="000453D3" w:rsidP="000453D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0453D3" w:rsidSect="000453D3">
          <w:pgSz w:w="16838" w:h="11906" w:orient="landscape"/>
          <w:pgMar w:top="709" w:right="425" w:bottom="567" w:left="1134" w:header="709" w:footer="709" w:gutter="0"/>
          <w:cols w:space="708"/>
          <w:docGrid w:linePitch="360"/>
        </w:sectPr>
      </w:pPr>
    </w:p>
    <w:p w:rsidR="000453D3" w:rsidRPr="000453D3" w:rsidRDefault="000453D3" w:rsidP="000453D3">
      <w:pPr>
        <w:jc w:val="center"/>
        <w:rPr>
          <w:sz w:val="20"/>
          <w:szCs w:val="20"/>
        </w:rPr>
      </w:pPr>
      <w:r w:rsidRPr="000453D3">
        <w:rPr>
          <w:sz w:val="20"/>
          <w:szCs w:val="20"/>
        </w:rPr>
        <w:lastRenderedPageBreak/>
        <w:t>РОССИЙСКАЯ   ФЕДЕРАЦИЯ</w:t>
      </w:r>
    </w:p>
    <w:p w:rsidR="000453D3" w:rsidRPr="000453D3" w:rsidRDefault="000453D3" w:rsidP="000453D3">
      <w:pPr>
        <w:jc w:val="center"/>
        <w:rPr>
          <w:sz w:val="20"/>
          <w:szCs w:val="20"/>
        </w:rPr>
      </w:pPr>
      <w:r w:rsidRPr="000453D3">
        <w:rPr>
          <w:sz w:val="20"/>
          <w:szCs w:val="20"/>
        </w:rPr>
        <w:t>КОСТРОМСКАЯ   ОБЛАСТЬ</w:t>
      </w:r>
    </w:p>
    <w:p w:rsidR="000453D3" w:rsidRPr="000453D3" w:rsidRDefault="000453D3" w:rsidP="000453D3">
      <w:pPr>
        <w:jc w:val="center"/>
        <w:rPr>
          <w:sz w:val="20"/>
          <w:szCs w:val="20"/>
        </w:rPr>
      </w:pPr>
      <w:r w:rsidRPr="000453D3">
        <w:rPr>
          <w:sz w:val="20"/>
          <w:szCs w:val="20"/>
        </w:rPr>
        <w:t>СОБРАНИЕ   ДЕПУТАТОВ   КАДЫЙСКОГО   МУНИЦИПАЛЬНОГО   РАЙОНА</w:t>
      </w:r>
    </w:p>
    <w:p w:rsidR="000453D3" w:rsidRPr="000453D3" w:rsidRDefault="000453D3" w:rsidP="000453D3">
      <w:pPr>
        <w:jc w:val="center"/>
        <w:rPr>
          <w:sz w:val="20"/>
          <w:szCs w:val="20"/>
        </w:rPr>
      </w:pPr>
    </w:p>
    <w:p w:rsidR="000453D3" w:rsidRPr="000453D3" w:rsidRDefault="000453D3" w:rsidP="000453D3">
      <w:pPr>
        <w:jc w:val="center"/>
        <w:rPr>
          <w:sz w:val="20"/>
          <w:szCs w:val="20"/>
        </w:rPr>
      </w:pPr>
      <w:proofErr w:type="gramStart"/>
      <w:r w:rsidRPr="000453D3">
        <w:rPr>
          <w:sz w:val="20"/>
          <w:szCs w:val="20"/>
        </w:rPr>
        <w:t>Р</w:t>
      </w:r>
      <w:proofErr w:type="gramEnd"/>
      <w:r w:rsidRPr="000453D3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3D3" w:rsidRPr="000453D3" w:rsidRDefault="000453D3" w:rsidP="000453D3">
      <w:pPr>
        <w:rPr>
          <w:sz w:val="20"/>
          <w:szCs w:val="20"/>
        </w:rPr>
      </w:pPr>
      <w:r w:rsidRPr="000453D3">
        <w:rPr>
          <w:sz w:val="20"/>
          <w:szCs w:val="20"/>
        </w:rPr>
        <w:t xml:space="preserve">14 июня 2019 года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0453D3">
        <w:rPr>
          <w:sz w:val="20"/>
          <w:szCs w:val="20"/>
        </w:rPr>
        <w:t xml:space="preserve">       № 359</w:t>
      </w:r>
    </w:p>
    <w:p w:rsidR="000453D3" w:rsidRPr="000453D3" w:rsidRDefault="000453D3" w:rsidP="000453D3">
      <w:pPr>
        <w:rPr>
          <w:sz w:val="20"/>
          <w:szCs w:val="20"/>
        </w:rPr>
      </w:pPr>
      <w:r w:rsidRPr="000453D3">
        <w:rPr>
          <w:sz w:val="20"/>
          <w:szCs w:val="20"/>
        </w:rPr>
        <w:t xml:space="preserve">    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О внесении изменений и дополнений 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 в решение от 25.12.2018 года №  312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 «О бюджете Кадыйского </w:t>
      </w:r>
      <w:proofErr w:type="gramStart"/>
      <w:r w:rsidRPr="000453D3">
        <w:rPr>
          <w:sz w:val="20"/>
          <w:szCs w:val="20"/>
        </w:rPr>
        <w:t>муниципального</w:t>
      </w:r>
      <w:proofErr w:type="gramEnd"/>
      <w:r w:rsidRPr="000453D3">
        <w:rPr>
          <w:sz w:val="20"/>
          <w:szCs w:val="20"/>
        </w:rPr>
        <w:t xml:space="preserve"> 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 района на 2019 год».  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</w:p>
    <w:p w:rsidR="000453D3" w:rsidRPr="000453D3" w:rsidRDefault="000453D3" w:rsidP="000453D3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0453D3">
        <w:rPr>
          <w:sz w:val="20"/>
          <w:szCs w:val="20"/>
        </w:rPr>
        <w:t xml:space="preserve">          </w:t>
      </w:r>
      <w:proofErr w:type="gramStart"/>
      <w:r w:rsidRPr="000453D3">
        <w:rPr>
          <w:sz w:val="20"/>
          <w:szCs w:val="20"/>
        </w:rPr>
        <w:t>В соответствии с  постановлением администрации Костромской области от 10.06.2019 года № 200-а «О распределении дотаций бюджетам муниципальных районов  Костромской области на поддержку мер по обеспечению сбалансированности бюджетов муниципальных районов (городских округов) Костромской области в 2019 году», с  постановлением администрации Костромской области от 04.06.2019 года № 195-а «О распределении субсидий из областного бюджета бюджетам муниципальных образований  Костромской области на софинансирование проектов развития, основанных</w:t>
      </w:r>
      <w:proofErr w:type="gramEnd"/>
      <w:r w:rsidRPr="000453D3">
        <w:rPr>
          <w:sz w:val="20"/>
          <w:szCs w:val="20"/>
        </w:rPr>
        <w:t xml:space="preserve"> на общественных инициативах, в 2019 году»,                                     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b/>
          <w:bCs/>
          <w:sz w:val="20"/>
          <w:szCs w:val="20"/>
        </w:rPr>
        <w:t xml:space="preserve">        1.Муниципальному району дополнительно </w:t>
      </w:r>
      <w:proofErr w:type="gramStart"/>
      <w:r w:rsidRPr="000453D3">
        <w:rPr>
          <w:b/>
          <w:bCs/>
          <w:sz w:val="20"/>
          <w:szCs w:val="20"/>
        </w:rPr>
        <w:t>переданы</w:t>
      </w:r>
      <w:proofErr w:type="gramEnd"/>
      <w:r w:rsidRPr="000453D3">
        <w:rPr>
          <w:b/>
          <w:bCs/>
          <w:sz w:val="20"/>
          <w:szCs w:val="20"/>
        </w:rPr>
        <w:t xml:space="preserve">  из областного бюджета: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- дотация на поддержку мер по обеспечению сбалансированности бюджетов в сумме 800,0 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тыс.  рублей,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- субсидия на софинансирование расходных обязательств муниципальных образований,  </w:t>
      </w:r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возникших при реализации проектов развития, основанных на общественных инициативах, </w:t>
      </w:r>
      <w:proofErr w:type="gramStart"/>
      <w:r w:rsidRPr="000453D3">
        <w:rPr>
          <w:sz w:val="20"/>
          <w:szCs w:val="20"/>
        </w:rPr>
        <w:t>в</w:t>
      </w:r>
      <w:proofErr w:type="gramEnd"/>
    </w:p>
    <w:p w:rsidR="000453D3" w:rsidRPr="000453D3" w:rsidRDefault="000453D3" w:rsidP="000453D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номинации «Местные инициативы» в сумме  377,589 тыс. рублей.</w:t>
      </w:r>
    </w:p>
    <w:p w:rsidR="000453D3" w:rsidRPr="000453D3" w:rsidRDefault="000453D3" w:rsidP="000453D3">
      <w:pPr>
        <w:tabs>
          <w:tab w:val="left" w:pos="27672"/>
        </w:tabs>
        <w:jc w:val="both"/>
        <w:rPr>
          <w:sz w:val="20"/>
          <w:szCs w:val="20"/>
        </w:rPr>
      </w:pPr>
      <w:r w:rsidRPr="000453D3">
        <w:rPr>
          <w:sz w:val="20"/>
          <w:szCs w:val="20"/>
        </w:rPr>
        <w:t>2. Предусмотреть в бюджете муниципального района на реализацию проектов развития, основанных на местных инициативах за счет средств областного бюджета в сумме 377,589 тыс. рублей;  внебюджетных источников 151,038 тыс. рублей.</w:t>
      </w:r>
    </w:p>
    <w:p w:rsidR="000453D3" w:rsidRPr="000453D3" w:rsidRDefault="000453D3" w:rsidP="000453D3">
      <w:pPr>
        <w:tabs>
          <w:tab w:val="left" w:pos="28992"/>
        </w:tabs>
        <w:jc w:val="both"/>
        <w:rPr>
          <w:sz w:val="20"/>
          <w:szCs w:val="20"/>
        </w:rPr>
      </w:pPr>
      <w:r w:rsidRPr="000453D3">
        <w:rPr>
          <w:sz w:val="20"/>
          <w:szCs w:val="20"/>
        </w:rPr>
        <w:t>3. Увеличить передачу из бюджета муниципального района в бюджет Екатеринкинского сельского поселения  иных межбюджетных трансфертов  в сумме 300,0 тыс. рублей.</w:t>
      </w:r>
    </w:p>
    <w:p w:rsidR="000453D3" w:rsidRPr="000453D3" w:rsidRDefault="000453D3" w:rsidP="000453D3">
      <w:pPr>
        <w:tabs>
          <w:tab w:val="left" w:pos="27672"/>
        </w:tabs>
        <w:ind w:left="15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</w:t>
      </w:r>
      <w:r w:rsidRPr="000453D3">
        <w:rPr>
          <w:sz w:val="20"/>
          <w:szCs w:val="20"/>
        </w:rPr>
        <w:tab/>
      </w:r>
    </w:p>
    <w:p w:rsidR="000453D3" w:rsidRPr="000453D3" w:rsidRDefault="000453D3" w:rsidP="000453D3">
      <w:pPr>
        <w:jc w:val="both"/>
        <w:rPr>
          <w:sz w:val="20"/>
          <w:szCs w:val="20"/>
        </w:rPr>
      </w:pPr>
      <w:r w:rsidRPr="000453D3">
        <w:rPr>
          <w:sz w:val="20"/>
          <w:szCs w:val="20"/>
        </w:rPr>
        <w:tab/>
        <w:t xml:space="preserve">   Учитывая изложенное </w:t>
      </w:r>
    </w:p>
    <w:p w:rsidR="000453D3" w:rsidRPr="000453D3" w:rsidRDefault="000453D3" w:rsidP="000453D3">
      <w:pPr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                                   </w:t>
      </w:r>
    </w:p>
    <w:p w:rsidR="000453D3" w:rsidRPr="000453D3" w:rsidRDefault="000453D3" w:rsidP="000453D3">
      <w:pPr>
        <w:rPr>
          <w:sz w:val="20"/>
          <w:szCs w:val="20"/>
        </w:rPr>
      </w:pPr>
      <w:r w:rsidRPr="000453D3">
        <w:rPr>
          <w:sz w:val="20"/>
          <w:szCs w:val="20"/>
        </w:rPr>
        <w:t xml:space="preserve">                                              Собрание депутатов решило  </w:t>
      </w:r>
    </w:p>
    <w:p w:rsidR="000453D3" w:rsidRPr="000453D3" w:rsidRDefault="000453D3" w:rsidP="000453D3">
      <w:pPr>
        <w:rPr>
          <w:sz w:val="20"/>
          <w:szCs w:val="20"/>
        </w:rPr>
      </w:pPr>
      <w:r w:rsidRPr="000453D3">
        <w:rPr>
          <w:sz w:val="20"/>
          <w:szCs w:val="20"/>
        </w:rPr>
        <w:t xml:space="preserve">                                </w:t>
      </w:r>
    </w:p>
    <w:p w:rsidR="000453D3" w:rsidRPr="000453D3" w:rsidRDefault="000453D3" w:rsidP="000453D3">
      <w:pPr>
        <w:ind w:left="30" w:right="170" w:hanging="476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1.       В  пункт</w:t>
      </w:r>
      <w:proofErr w:type="gramStart"/>
      <w:r w:rsidRPr="000453D3">
        <w:rPr>
          <w:sz w:val="20"/>
          <w:szCs w:val="20"/>
        </w:rPr>
        <w:t>1</w:t>
      </w:r>
      <w:proofErr w:type="gramEnd"/>
      <w:r w:rsidRPr="000453D3">
        <w:rPr>
          <w:sz w:val="20"/>
          <w:szCs w:val="20"/>
        </w:rPr>
        <w:t xml:space="preserve">  решения Собрания   депутатов  от  25.12.2018   года    № 312    «О   бюджете Кадыйского муниципального    района   на  2019 год»   слова   «Общий  объем  доходов   бюджета муниципального района в сумме </w:t>
      </w:r>
      <w:r w:rsidRPr="000453D3">
        <w:rPr>
          <w:color w:val="000000"/>
          <w:sz w:val="20"/>
          <w:szCs w:val="20"/>
        </w:rPr>
        <w:t>215837,0</w:t>
      </w:r>
      <w:r w:rsidRPr="000453D3">
        <w:rPr>
          <w:sz w:val="20"/>
          <w:szCs w:val="20"/>
        </w:rPr>
        <w:t xml:space="preserve"> тыс. руб., в том числе объем безвозмездных поступлений из  бюджетов других уровней  в   сумме   </w:t>
      </w:r>
      <w:r w:rsidRPr="000453D3">
        <w:rPr>
          <w:color w:val="000000"/>
          <w:sz w:val="20"/>
          <w:szCs w:val="20"/>
        </w:rPr>
        <w:t>170860,9</w:t>
      </w:r>
      <w:r w:rsidRPr="000453D3">
        <w:rPr>
          <w:sz w:val="20"/>
          <w:szCs w:val="20"/>
        </w:rPr>
        <w:t xml:space="preserve"> тыс.  руб., общий   объем    расходов      бюджета муниципального района в сумме </w:t>
      </w:r>
      <w:r w:rsidRPr="000453D3">
        <w:rPr>
          <w:color w:val="000000"/>
          <w:sz w:val="20"/>
          <w:szCs w:val="20"/>
        </w:rPr>
        <w:t>218887,2</w:t>
      </w:r>
      <w:r w:rsidRPr="000453D3">
        <w:rPr>
          <w:sz w:val="20"/>
          <w:szCs w:val="20"/>
        </w:rPr>
        <w:t xml:space="preserve"> тыс. руб., дефицит бюджета муниципального района в </w:t>
      </w:r>
      <w:proofErr w:type="gramStart"/>
      <w:r w:rsidRPr="000453D3">
        <w:rPr>
          <w:sz w:val="20"/>
          <w:szCs w:val="20"/>
        </w:rPr>
        <w:t>сумме 3050,2 тыс. руб.» заменить словами «Общий объем доходов бюджета муниципального района в сумме 217014,6</w:t>
      </w:r>
      <w:r w:rsidRPr="000453D3">
        <w:rPr>
          <w:color w:val="FF6600"/>
          <w:sz w:val="20"/>
          <w:szCs w:val="20"/>
        </w:rPr>
        <w:t xml:space="preserve"> </w:t>
      </w:r>
      <w:r w:rsidRPr="000453D3">
        <w:rPr>
          <w:sz w:val="20"/>
          <w:szCs w:val="20"/>
        </w:rPr>
        <w:t>тыс. руб.,  в   том   числе объем безвозмездных поступлений из бюджетов других уровней в сумме  172038,5</w:t>
      </w:r>
      <w:r w:rsidRPr="000453D3">
        <w:rPr>
          <w:color w:val="000000"/>
          <w:sz w:val="20"/>
          <w:szCs w:val="20"/>
        </w:rPr>
        <w:t xml:space="preserve"> т</w:t>
      </w:r>
      <w:r w:rsidRPr="000453D3">
        <w:rPr>
          <w:sz w:val="20"/>
          <w:szCs w:val="20"/>
        </w:rPr>
        <w:t xml:space="preserve">ыс. руб., общий объем расходов бюджета муниципального района в сумме  </w:t>
      </w:r>
      <w:r w:rsidRPr="000453D3">
        <w:rPr>
          <w:color w:val="000000"/>
          <w:sz w:val="20"/>
          <w:szCs w:val="20"/>
        </w:rPr>
        <w:t>220064,8</w:t>
      </w:r>
      <w:r w:rsidRPr="000453D3">
        <w:rPr>
          <w:color w:val="800000"/>
          <w:sz w:val="20"/>
          <w:szCs w:val="20"/>
        </w:rPr>
        <w:t xml:space="preserve"> </w:t>
      </w:r>
      <w:r w:rsidRPr="000453D3">
        <w:rPr>
          <w:sz w:val="20"/>
          <w:szCs w:val="20"/>
        </w:rPr>
        <w:t xml:space="preserve">тыс.  руб.,  дефицит бюджета муниципального района в сумме </w:t>
      </w:r>
      <w:r w:rsidRPr="000453D3">
        <w:rPr>
          <w:color w:val="000000"/>
          <w:sz w:val="20"/>
          <w:szCs w:val="20"/>
        </w:rPr>
        <w:t xml:space="preserve">3050,2 </w:t>
      </w:r>
      <w:r w:rsidRPr="000453D3">
        <w:rPr>
          <w:sz w:val="20"/>
          <w:szCs w:val="20"/>
        </w:rPr>
        <w:t>тыс. руб.»</w:t>
      </w:r>
      <w:proofErr w:type="gramEnd"/>
    </w:p>
    <w:p w:rsidR="000453D3" w:rsidRPr="000453D3" w:rsidRDefault="000453D3" w:rsidP="000453D3">
      <w:pPr>
        <w:ind w:left="-17" w:right="170" w:hanging="476"/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      2.         Утвердить в  бюджете муниципального района на 2019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0453D3" w:rsidRPr="000453D3" w:rsidRDefault="000453D3" w:rsidP="000453D3">
      <w:pPr>
        <w:widowControl/>
        <w:numPr>
          <w:ilvl w:val="0"/>
          <w:numId w:val="1"/>
        </w:numPr>
        <w:tabs>
          <w:tab w:val="clear" w:pos="0"/>
          <w:tab w:val="num" w:pos="720"/>
        </w:tabs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0453D3">
        <w:rPr>
          <w:sz w:val="20"/>
          <w:szCs w:val="20"/>
        </w:rPr>
        <w:t>Утвердить    распределение   расходов   бюджета  муниципального  района на 2019 год по разделам   и     подразделам,     целевым     статьям   и   видам    расходов функциональной классификации согласно приложению № 2 к настоящему решению.</w:t>
      </w:r>
    </w:p>
    <w:p w:rsidR="000453D3" w:rsidRPr="000453D3" w:rsidRDefault="000453D3" w:rsidP="000453D3">
      <w:pPr>
        <w:widowControl/>
        <w:numPr>
          <w:ilvl w:val="0"/>
          <w:numId w:val="1"/>
        </w:numPr>
        <w:tabs>
          <w:tab w:val="clear" w:pos="0"/>
          <w:tab w:val="num" w:pos="720"/>
        </w:tabs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0453D3">
        <w:rPr>
          <w:sz w:val="20"/>
          <w:szCs w:val="20"/>
        </w:rPr>
        <w:t>Утвердить на 2019 год объем иных межбюджетных трансфертов в сумме 10700,0 тыс. рублей согласно приложению № 3 к настоящему решению.</w:t>
      </w:r>
    </w:p>
    <w:p w:rsidR="000453D3" w:rsidRPr="000453D3" w:rsidRDefault="000453D3" w:rsidP="000453D3">
      <w:pPr>
        <w:jc w:val="both"/>
        <w:rPr>
          <w:sz w:val="20"/>
          <w:szCs w:val="20"/>
        </w:rPr>
      </w:pPr>
      <w:r w:rsidRPr="000453D3">
        <w:rPr>
          <w:sz w:val="20"/>
          <w:szCs w:val="20"/>
        </w:rPr>
        <w:t xml:space="preserve"> 5.         Настоящее решение вступает в силу с момента официального  опубликования.</w:t>
      </w:r>
    </w:p>
    <w:p w:rsidR="000453D3" w:rsidRDefault="000453D3" w:rsidP="000453D3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453D3" w:rsidRPr="00C932D9" w:rsidRDefault="000453D3" w:rsidP="000453D3">
      <w:pPr>
        <w:pStyle w:val="a5"/>
        <w:tabs>
          <w:tab w:val="left" w:pos="3969"/>
          <w:tab w:val="left" w:pos="4395"/>
          <w:tab w:val="left" w:pos="8931"/>
        </w:tabs>
        <w:spacing w:before="14"/>
        <w:ind w:left="1065" w:right="-692"/>
        <w:rPr>
          <w:sz w:val="20"/>
          <w:szCs w:val="20"/>
        </w:rPr>
      </w:pPr>
      <w:r w:rsidRPr="00C932D9">
        <w:rPr>
          <w:sz w:val="20"/>
          <w:szCs w:val="20"/>
        </w:rPr>
        <w:t xml:space="preserve">Глава Кадыйского  муниципального района        </w:t>
      </w:r>
      <w:r>
        <w:rPr>
          <w:sz w:val="20"/>
          <w:szCs w:val="20"/>
        </w:rPr>
        <w:t xml:space="preserve">                          </w:t>
      </w:r>
      <w:r w:rsidRPr="00C932D9">
        <w:rPr>
          <w:sz w:val="20"/>
          <w:szCs w:val="20"/>
        </w:rPr>
        <w:t>Председатель Собрания депутатов</w:t>
      </w:r>
    </w:p>
    <w:p w:rsidR="000453D3" w:rsidRDefault="000453D3" w:rsidP="000453D3">
      <w:pPr>
        <w:pStyle w:val="a5"/>
        <w:shd w:val="clear" w:color="auto" w:fill="FFFFFF"/>
        <w:spacing w:line="230" w:lineRule="exact"/>
        <w:ind w:left="1065"/>
      </w:pPr>
      <w:r w:rsidRPr="00C932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</w:t>
      </w:r>
      <w:r w:rsidRPr="00C932D9">
        <w:rPr>
          <w:sz w:val="20"/>
          <w:szCs w:val="20"/>
        </w:rPr>
        <w:t>В.В.Зайцев</w:t>
      </w:r>
      <w:r w:rsidRPr="00C932D9">
        <w:rPr>
          <w:sz w:val="20"/>
          <w:szCs w:val="20"/>
        </w:rPr>
        <w:tab/>
      </w:r>
      <w:r w:rsidRPr="00C932D9">
        <w:rPr>
          <w:sz w:val="20"/>
          <w:szCs w:val="20"/>
        </w:rPr>
        <w:tab/>
      </w:r>
      <w:r w:rsidRPr="00C932D9">
        <w:rPr>
          <w:sz w:val="20"/>
          <w:szCs w:val="20"/>
        </w:rPr>
        <w:tab/>
      </w:r>
      <w:r w:rsidRPr="00C932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C932D9">
        <w:rPr>
          <w:sz w:val="20"/>
          <w:szCs w:val="20"/>
        </w:rPr>
        <w:t>М.А. Цыплова</w:t>
      </w:r>
    </w:p>
    <w:p w:rsidR="000453D3" w:rsidRPr="000453D3" w:rsidRDefault="000453D3" w:rsidP="000453D3">
      <w:pPr>
        <w:rPr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35"/>
        <w:gridCol w:w="5931"/>
        <w:gridCol w:w="2366"/>
      </w:tblGrid>
      <w:tr w:rsidR="003B7109" w:rsidRPr="003B7109" w:rsidTr="001630A4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</w:tcPr>
          <w:p w:rsidR="003B7109" w:rsidRPr="003B7109" w:rsidRDefault="003B710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3B7109" w:rsidRPr="003B7109" w:rsidRDefault="003B710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3B7109" w:rsidRPr="003B7109" w:rsidRDefault="003B710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3B7109" w:rsidRPr="003B7109" w:rsidRDefault="003B7109" w:rsidP="00163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 359</w:t>
            </w: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от 14 июня  2019 года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7109" w:rsidRPr="003B7109" w:rsidTr="001630A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</w:tcPr>
          <w:p w:rsidR="003B7109" w:rsidRPr="003B7109" w:rsidRDefault="003B71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3B7109" w:rsidRPr="003B7109" w:rsidRDefault="003B7109" w:rsidP="00163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2019 год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План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3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9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Квартал 1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00000000000000000000</w:t>
            </w:r>
          </w:p>
        </w:tc>
        <w:tc>
          <w:tcPr>
            <w:tcW w:w="5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217 014 498,00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27 245 400,00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10 499 300,00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10 499 300,00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10 224 140,00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28 100,00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-2 840,00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249 900,00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0453D3" w:rsidRPr="003B7109" w:rsidTr="006527FA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00010302231010000110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756 500,00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00010302241010000110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00010302251010000110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1 122 000,00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00010302261010000110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-169 700,00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8 010 500,00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3 946 400,00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1 946 923,00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1 949 350,00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00010501012010000110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-2 427,00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1 999 477,00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1 999 477,00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00010502000020000110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3 951 300,00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3 951 300,00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00010503010010000110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111 415,00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111 415,00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1 671 300,00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1 671 300,00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1 595 000,00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76 300,00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76 300,00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14 300,00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0453D3" w:rsidRPr="003B7109" w:rsidTr="003B710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4 030 000,00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00011302065050000130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278 700,00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00011402053050000410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590 000,00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15 300,00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00011603030010000140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00011608000010000140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00011608020010000140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00011628000010000140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8 255,00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00011635000000000140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66 761,00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00011635030050000140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66 761,00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94 916,00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262 768,00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262 768,00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189 769 098,00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172 038 498,00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45 890 000,00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34 659 000,00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11 231 000,00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79 384 814,00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279 370,00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1 324 595,00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на поддержку отрасли культура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00020227567050000150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57 787 600,00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 (на обеспечение питанием учащихся муниципальных общеобразовательных организаций)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1 303 249,00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46 335 600,00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46 335 600,00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17 730 600,00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2 427 800,00</w:t>
            </w:r>
          </w:p>
        </w:tc>
      </w:tr>
      <w:tr w:rsidR="000453D3" w:rsidRPr="003B71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00020705030050000150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15 302 800,00</w:t>
            </w:r>
          </w:p>
        </w:tc>
      </w:tr>
      <w:tr w:rsidR="000453D3" w:rsidRPr="003B7109" w:rsidTr="001630A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9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453D3" w:rsidRPr="003B7109" w:rsidRDefault="000453D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B710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217 014 498,00</w:t>
            </w:r>
          </w:p>
        </w:tc>
      </w:tr>
    </w:tbl>
    <w:p w:rsidR="000453D3" w:rsidRDefault="000453D3" w:rsidP="000453D3">
      <w:pPr>
        <w:rPr>
          <w:lang w:eastAsia="ar-SA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"/>
        <w:gridCol w:w="4855"/>
        <w:gridCol w:w="845"/>
        <w:gridCol w:w="725"/>
        <w:gridCol w:w="1243"/>
        <w:gridCol w:w="1427"/>
        <w:gridCol w:w="1418"/>
      </w:tblGrid>
      <w:tr w:rsidR="001630A4" w:rsidTr="006527F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662" w:type="dxa"/>
            <w:gridSpan w:val="7"/>
            <w:tcBorders>
              <w:top w:val="nil"/>
              <w:lef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1630A4" w:rsidRPr="001630A4" w:rsidRDefault="001630A4" w:rsidP="00163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359  от 14 июня  2019 года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62" w:type="dxa"/>
            <w:gridSpan w:val="7"/>
            <w:tcBorders>
              <w:top w:val="nil"/>
              <w:lef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1630A4" w:rsidRPr="001630A4" w:rsidRDefault="001630A4" w:rsidP="00163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2019 год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26 362 746,00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586 948,00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586 948,00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484 196,00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102 752,00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173 260,00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173 260,00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131 334,00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41 926,00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6 493 789,00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4 655 849,00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3 700 059,00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952 340,00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750 670,00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537 583,00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162 560,00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50 527,00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205 700,00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156 921,00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48 779,00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225 100,00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172 198,00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52 902,00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597 270,00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407 506,00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171 254,00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18 110,00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2 430 788,00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346 984,00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302 986,00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43 998,00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1 610 804,00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1 353 152,00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257 652,00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473 000,00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463 000,00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0200020080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0200020080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15 727 961,00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государственных </w:t>
            </w: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9 931 019,00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9 931 019,00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5 366 942,00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1 527 130,00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285 902,00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3 464 910,00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31 638,00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38 362,00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МП "Поддержка социально ориентированных </w:t>
            </w: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некомерческих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организаций в Кадыйском муниципальном районе на 2017-2019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70 468 075,00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906 765,00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64 800,00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64 800,00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488 800,00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по борьбе с сорным растением - </w:t>
            </w: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борьщевик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Сосновского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43600S2250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43600S2250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979 310,00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68 045 000,00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Строительство и реконструкция автомобильных дорог общего пользования в рамках мероприятий на обеспечение устойчивого развития сельских территорий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40000L5670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60 829 400,00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40000L5670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60 829 400,00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537 000,00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512 000,00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1 442 301,00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1 265 180,00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98 116 969,00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15 741 243,00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7 680,00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5 185 609,00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2 752 869,00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532 687,00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1 606 187,00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168 472,00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14 584,00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81 312,00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1 708 080,00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1 708 080,00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7 998 554,00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6 058 798,00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1 829 756,00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75 260 464,00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2 264 050,00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2 262 900,00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66 052,00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19 948,00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14 834 138,00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7 588 896,00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64 160,00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825 504,00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5 206 450,00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681 348,00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138 750,00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123 571,00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205 459,00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1 752 000,00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1 752 000,00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35 632 496,00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23 714 959,00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7 161 917,00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4 755 620,00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559 000,00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559 000,00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3 692 562,00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3 601 862,00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1 888 589,00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617 673,00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22 150,00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29 150,00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65 700,00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61 700,00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143 220,00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143 220,00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33 220,00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3 279 480,00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735 630,00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170 630,00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2 403 400,00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1 520 584,00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454 616,00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53 600,00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10 211 982,00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9 096 622,00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40000L519Ф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40000L519Ф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4 640 104,00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3 144 265,00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873 839,00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160 540,00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31 536,00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11 504,00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1 064 968,00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708 080,00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169 388,00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163 500,00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2 217 140,00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1 576 375,00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305 965,00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1 115 360,00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710 800,00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544 393,00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164 407,00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354 560,00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205 345,00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62 015,00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79 200,00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2 212 195,00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2 053 795,00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205 200,00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204 900,00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102 738,00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54 738,00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276 500,00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276 500,00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276 500,00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274 900,00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9 558 000,00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5 200 000,00</w:t>
            </w:r>
          </w:p>
        </w:tc>
      </w:tr>
      <w:tr w:rsidR="001630A4" w:rsidTr="006527F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30A4" w:rsidRPr="001630A4" w:rsidRDefault="001630A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30A4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220 064 768,00</w:t>
            </w:r>
          </w:p>
        </w:tc>
      </w:tr>
    </w:tbl>
    <w:p w:rsidR="005E4916" w:rsidRPr="005E4916" w:rsidRDefault="005E4916" w:rsidP="005E4916">
      <w:pPr>
        <w:jc w:val="right"/>
        <w:rPr>
          <w:sz w:val="20"/>
          <w:szCs w:val="20"/>
        </w:rPr>
      </w:pPr>
      <w:r w:rsidRPr="005E4916">
        <w:rPr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5E4916" w:rsidRPr="005E4916" w:rsidRDefault="005E4916" w:rsidP="005E4916">
      <w:pPr>
        <w:jc w:val="right"/>
        <w:rPr>
          <w:sz w:val="20"/>
          <w:szCs w:val="20"/>
        </w:rPr>
      </w:pPr>
      <w:r w:rsidRPr="005E4916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5E4916" w:rsidRPr="005E4916" w:rsidRDefault="005E4916" w:rsidP="005E4916">
      <w:pPr>
        <w:jc w:val="right"/>
        <w:rPr>
          <w:sz w:val="20"/>
          <w:szCs w:val="20"/>
        </w:rPr>
      </w:pPr>
      <w:r w:rsidRPr="005E4916">
        <w:rPr>
          <w:sz w:val="20"/>
          <w:szCs w:val="20"/>
        </w:rPr>
        <w:t>Кадыйского муниципального района</w:t>
      </w:r>
    </w:p>
    <w:p w:rsidR="005E4916" w:rsidRPr="005E4916" w:rsidRDefault="005E4916" w:rsidP="005E4916">
      <w:pPr>
        <w:jc w:val="right"/>
        <w:rPr>
          <w:sz w:val="20"/>
          <w:szCs w:val="20"/>
        </w:rPr>
      </w:pPr>
      <w:r w:rsidRPr="005E4916">
        <w:rPr>
          <w:sz w:val="20"/>
          <w:szCs w:val="20"/>
        </w:rPr>
        <w:t xml:space="preserve">                                                                                                              № 359  от  14 июня 201</w:t>
      </w:r>
      <w:r w:rsidRPr="005E4916">
        <w:rPr>
          <w:sz w:val="20"/>
          <w:szCs w:val="20"/>
          <w:lang w:val="en-US"/>
        </w:rPr>
        <w:t>9</w:t>
      </w:r>
      <w:r w:rsidRPr="005E4916">
        <w:rPr>
          <w:sz w:val="20"/>
          <w:szCs w:val="20"/>
        </w:rPr>
        <w:t xml:space="preserve"> года</w:t>
      </w:r>
    </w:p>
    <w:p w:rsidR="005E4916" w:rsidRPr="005E4916" w:rsidRDefault="005E4916" w:rsidP="005E4916">
      <w:pPr>
        <w:pStyle w:val="2"/>
        <w:keepLines w:val="0"/>
        <w:widowControl/>
        <w:numPr>
          <w:ilvl w:val="1"/>
          <w:numId w:val="1"/>
        </w:numPr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>Р</w:t>
      </w:r>
      <w:proofErr w:type="gramEnd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а с </w:t>
      </w:r>
      <w:proofErr w:type="spellStart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>п</w:t>
      </w:r>
      <w:proofErr w:type="spellEnd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>р</w:t>
      </w:r>
      <w:proofErr w:type="spellEnd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е </w:t>
      </w:r>
      <w:proofErr w:type="spellStart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>д</w:t>
      </w:r>
      <w:proofErr w:type="spellEnd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е л е </w:t>
      </w:r>
      <w:proofErr w:type="spellStart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>н</w:t>
      </w:r>
      <w:proofErr w:type="spellEnd"/>
      <w:r w:rsidRPr="005E491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 е</w:t>
      </w:r>
    </w:p>
    <w:p w:rsidR="005E4916" w:rsidRPr="005E4916" w:rsidRDefault="005E4916" w:rsidP="005E4916">
      <w:pPr>
        <w:jc w:val="center"/>
        <w:rPr>
          <w:sz w:val="20"/>
          <w:szCs w:val="20"/>
        </w:rPr>
      </w:pPr>
      <w:r w:rsidRPr="005E4916">
        <w:rPr>
          <w:sz w:val="20"/>
          <w:szCs w:val="20"/>
        </w:rPr>
        <w:t>Иные межбюджетные трансферты бюджетам</w:t>
      </w:r>
    </w:p>
    <w:p w:rsidR="005E4916" w:rsidRPr="005E4916" w:rsidRDefault="005E4916" w:rsidP="005E4916">
      <w:pPr>
        <w:jc w:val="center"/>
        <w:rPr>
          <w:sz w:val="20"/>
          <w:szCs w:val="20"/>
        </w:rPr>
      </w:pPr>
      <w:r w:rsidRPr="005E4916">
        <w:rPr>
          <w:sz w:val="20"/>
          <w:szCs w:val="20"/>
        </w:rPr>
        <w:t>сельских поселений  из бюджета  муниципального района на 2019 год</w:t>
      </w:r>
    </w:p>
    <w:p w:rsidR="005E4916" w:rsidRPr="005E4916" w:rsidRDefault="005E4916" w:rsidP="005E4916">
      <w:pPr>
        <w:jc w:val="center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Look w:val="0000"/>
      </w:tblPr>
      <w:tblGrid>
        <w:gridCol w:w="6633"/>
        <w:gridCol w:w="3620"/>
      </w:tblGrid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5E4916">
            <w:pPr>
              <w:pStyle w:val="3"/>
              <w:keepLines w:val="0"/>
              <w:widowControl/>
              <w:numPr>
                <w:ilvl w:val="2"/>
                <w:numId w:val="1"/>
              </w:numPr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</w:rPr>
              <w:t>Сумма  руб.</w:t>
            </w:r>
          </w:p>
        </w:tc>
      </w:tr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r w:rsidRPr="005E4916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10 700 000</w:t>
            </w:r>
          </w:p>
        </w:tc>
      </w:tr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r w:rsidRPr="005E4916">
              <w:rPr>
                <w:sz w:val="20"/>
                <w:szCs w:val="20"/>
              </w:rPr>
              <w:t xml:space="preserve">Городское поселение </w:t>
            </w:r>
            <w:proofErr w:type="spellStart"/>
            <w:r w:rsidRPr="005E4916">
              <w:rPr>
                <w:sz w:val="20"/>
                <w:szCs w:val="20"/>
              </w:rPr>
              <w:t>п</w:t>
            </w:r>
            <w:proofErr w:type="gramStart"/>
            <w:r w:rsidRPr="005E4916">
              <w:rPr>
                <w:sz w:val="20"/>
                <w:szCs w:val="20"/>
              </w:rPr>
              <w:t>.К</w:t>
            </w:r>
            <w:proofErr w:type="gramEnd"/>
            <w:r w:rsidRPr="005E4916">
              <w:rPr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5 500 000</w:t>
            </w:r>
          </w:p>
        </w:tc>
      </w:tr>
      <w:tr w:rsidR="005E4916" w:rsidRPr="005E4916" w:rsidTr="0007099A">
        <w:tc>
          <w:tcPr>
            <w:tcW w:w="6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E4916">
              <w:rPr>
                <w:sz w:val="20"/>
                <w:szCs w:val="20"/>
              </w:rPr>
              <w:t>Вешкинское</w:t>
            </w:r>
            <w:proofErr w:type="spellEnd"/>
            <w:r w:rsidRPr="005E49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357 000</w:t>
            </w:r>
          </w:p>
        </w:tc>
      </w:tr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E4916">
              <w:rPr>
                <w:sz w:val="20"/>
                <w:szCs w:val="20"/>
              </w:rPr>
              <w:t>Екатеринкинское</w:t>
            </w:r>
            <w:proofErr w:type="spellEnd"/>
            <w:r w:rsidRPr="005E49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945 000</w:t>
            </w:r>
          </w:p>
        </w:tc>
      </w:tr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E4916">
              <w:rPr>
                <w:sz w:val="20"/>
                <w:szCs w:val="20"/>
              </w:rPr>
              <w:t>Завражное</w:t>
            </w:r>
            <w:proofErr w:type="spellEnd"/>
            <w:r w:rsidRPr="005E49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700 000</w:t>
            </w:r>
          </w:p>
        </w:tc>
      </w:tr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E4916">
              <w:rPr>
                <w:sz w:val="20"/>
                <w:szCs w:val="20"/>
              </w:rPr>
              <w:t>Паньковское</w:t>
            </w:r>
            <w:proofErr w:type="spellEnd"/>
            <w:r w:rsidRPr="005E49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1 236 000</w:t>
            </w:r>
          </w:p>
        </w:tc>
      </w:tr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E4916">
              <w:rPr>
                <w:sz w:val="20"/>
                <w:szCs w:val="20"/>
              </w:rPr>
              <w:t>Селищенское</w:t>
            </w:r>
            <w:proofErr w:type="spellEnd"/>
            <w:r w:rsidRPr="005E49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474 000</w:t>
            </w:r>
          </w:p>
        </w:tc>
      </w:tr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E4916">
              <w:rPr>
                <w:sz w:val="20"/>
                <w:szCs w:val="20"/>
              </w:rPr>
              <w:t>Столпинское</w:t>
            </w:r>
            <w:proofErr w:type="spellEnd"/>
            <w:r w:rsidRPr="005E49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683 000</w:t>
            </w:r>
          </w:p>
        </w:tc>
      </w:tr>
      <w:tr w:rsidR="005E4916" w:rsidRPr="005E4916" w:rsidTr="0007099A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E4916">
              <w:rPr>
                <w:sz w:val="20"/>
                <w:szCs w:val="20"/>
              </w:rPr>
              <w:t>Чернышевское</w:t>
            </w:r>
            <w:proofErr w:type="spellEnd"/>
            <w:r w:rsidRPr="005E49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6" w:rsidRPr="005E4916" w:rsidRDefault="005E4916" w:rsidP="0007099A">
            <w:pPr>
              <w:snapToGrid w:val="0"/>
              <w:jc w:val="center"/>
              <w:rPr>
                <w:sz w:val="20"/>
                <w:szCs w:val="20"/>
              </w:rPr>
            </w:pPr>
            <w:r w:rsidRPr="005E4916">
              <w:rPr>
                <w:sz w:val="20"/>
                <w:szCs w:val="20"/>
                <w:lang w:val="en-US"/>
              </w:rPr>
              <w:t>805 000</w:t>
            </w:r>
          </w:p>
        </w:tc>
      </w:tr>
    </w:tbl>
    <w:p w:rsidR="005E4916" w:rsidRDefault="005E4916" w:rsidP="000453D3">
      <w:pPr>
        <w:rPr>
          <w:lang w:eastAsia="ar-SA"/>
        </w:rPr>
      </w:pPr>
    </w:p>
    <w:p w:rsidR="006527FA" w:rsidRPr="006527FA" w:rsidRDefault="006527FA" w:rsidP="006527FA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6527FA">
        <w:rPr>
          <w:color w:val="000000"/>
          <w:spacing w:val="-8"/>
          <w:sz w:val="20"/>
          <w:szCs w:val="20"/>
        </w:rPr>
        <w:t xml:space="preserve">   РОССИЙСКАЯ ФЕДЕРАЦИЯ</w:t>
      </w:r>
    </w:p>
    <w:p w:rsidR="006527FA" w:rsidRPr="006527FA" w:rsidRDefault="006527FA" w:rsidP="006527FA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6527FA">
        <w:rPr>
          <w:color w:val="000000"/>
          <w:spacing w:val="-8"/>
          <w:sz w:val="20"/>
          <w:szCs w:val="20"/>
        </w:rPr>
        <w:t>КОСТРОМСКАЯ ОБЛАСТЬ</w:t>
      </w:r>
    </w:p>
    <w:p w:rsidR="006527FA" w:rsidRPr="006527FA" w:rsidRDefault="006527FA" w:rsidP="006527FA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6527FA">
        <w:rPr>
          <w:color w:val="000000"/>
          <w:spacing w:val="-8"/>
          <w:sz w:val="20"/>
          <w:szCs w:val="20"/>
        </w:rPr>
        <w:t>СОБРАНИЕ ДЕПУТАТОВ КАДЫЙСКОГО МУНИЦИПАЛЬНОГО РАЙОНА</w:t>
      </w:r>
    </w:p>
    <w:p w:rsidR="006527FA" w:rsidRPr="006527FA" w:rsidRDefault="006527FA" w:rsidP="006527FA">
      <w:pPr>
        <w:spacing w:line="100" w:lineRule="atLeast"/>
        <w:jc w:val="center"/>
        <w:rPr>
          <w:color w:val="000000"/>
          <w:sz w:val="20"/>
          <w:szCs w:val="20"/>
        </w:rPr>
      </w:pPr>
    </w:p>
    <w:p w:rsidR="006527FA" w:rsidRPr="006527FA" w:rsidRDefault="006527FA" w:rsidP="006527FA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  <w:r w:rsidRPr="006527FA">
        <w:rPr>
          <w:color w:val="000000"/>
          <w:spacing w:val="-8"/>
          <w:sz w:val="20"/>
          <w:szCs w:val="20"/>
        </w:rPr>
        <w:t>РЕШЕНИЕ</w:t>
      </w:r>
    </w:p>
    <w:p w:rsidR="006527FA" w:rsidRPr="006527FA" w:rsidRDefault="006527FA" w:rsidP="006527FA">
      <w:pPr>
        <w:spacing w:line="100" w:lineRule="atLeast"/>
        <w:jc w:val="center"/>
        <w:rPr>
          <w:color w:val="000000"/>
          <w:spacing w:val="-8"/>
          <w:sz w:val="20"/>
          <w:szCs w:val="20"/>
        </w:rPr>
      </w:pPr>
    </w:p>
    <w:p w:rsidR="006527FA" w:rsidRPr="006527FA" w:rsidRDefault="006527FA" w:rsidP="006527FA">
      <w:pPr>
        <w:rPr>
          <w:sz w:val="20"/>
          <w:szCs w:val="20"/>
        </w:rPr>
      </w:pPr>
      <w:r w:rsidRPr="006527FA">
        <w:rPr>
          <w:sz w:val="20"/>
          <w:szCs w:val="20"/>
        </w:rPr>
        <w:t xml:space="preserve">   «  14 »   июня  2019 года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6527FA">
        <w:rPr>
          <w:sz w:val="20"/>
          <w:szCs w:val="20"/>
        </w:rPr>
        <w:t xml:space="preserve">    № 360</w:t>
      </w:r>
    </w:p>
    <w:p w:rsidR="006527FA" w:rsidRPr="006527FA" w:rsidRDefault="006527FA" w:rsidP="006527FA">
      <w:pPr>
        <w:rPr>
          <w:sz w:val="20"/>
          <w:szCs w:val="20"/>
        </w:rPr>
      </w:pPr>
    </w:p>
    <w:p w:rsidR="006527FA" w:rsidRPr="006527FA" w:rsidRDefault="006527FA" w:rsidP="006527FA">
      <w:pPr>
        <w:rPr>
          <w:sz w:val="20"/>
          <w:szCs w:val="20"/>
        </w:rPr>
      </w:pPr>
      <w:r w:rsidRPr="006527FA">
        <w:rPr>
          <w:sz w:val="20"/>
          <w:szCs w:val="20"/>
        </w:rPr>
        <w:t>О выплате процентных надбавок</w:t>
      </w:r>
    </w:p>
    <w:p w:rsidR="006527FA" w:rsidRPr="006527FA" w:rsidRDefault="006527FA" w:rsidP="006527FA">
      <w:pPr>
        <w:rPr>
          <w:sz w:val="20"/>
          <w:szCs w:val="20"/>
        </w:rPr>
      </w:pPr>
      <w:r w:rsidRPr="006527FA">
        <w:rPr>
          <w:sz w:val="20"/>
          <w:szCs w:val="20"/>
        </w:rPr>
        <w:t>к должностному окладу граждан,</w:t>
      </w:r>
    </w:p>
    <w:p w:rsidR="006527FA" w:rsidRPr="006527FA" w:rsidRDefault="006527FA" w:rsidP="006527FA">
      <w:pPr>
        <w:rPr>
          <w:sz w:val="20"/>
          <w:szCs w:val="20"/>
        </w:rPr>
      </w:pPr>
      <w:proofErr w:type="gramStart"/>
      <w:r w:rsidRPr="006527FA">
        <w:rPr>
          <w:sz w:val="20"/>
          <w:szCs w:val="20"/>
        </w:rPr>
        <w:lastRenderedPageBreak/>
        <w:t>допущенных</w:t>
      </w:r>
      <w:proofErr w:type="gramEnd"/>
      <w:r w:rsidRPr="006527FA">
        <w:rPr>
          <w:sz w:val="20"/>
          <w:szCs w:val="20"/>
        </w:rPr>
        <w:t xml:space="preserve"> к государственной тайне </w:t>
      </w:r>
    </w:p>
    <w:p w:rsidR="006527FA" w:rsidRPr="006527FA" w:rsidRDefault="006527FA" w:rsidP="006527FA">
      <w:pPr>
        <w:rPr>
          <w:spacing w:val="-3"/>
          <w:sz w:val="20"/>
          <w:szCs w:val="20"/>
        </w:rPr>
      </w:pPr>
    </w:p>
    <w:p w:rsidR="006527FA" w:rsidRPr="006527FA" w:rsidRDefault="006527FA" w:rsidP="006527FA">
      <w:pPr>
        <w:tabs>
          <w:tab w:val="left" w:pos="2250"/>
        </w:tabs>
        <w:jc w:val="both"/>
        <w:rPr>
          <w:sz w:val="20"/>
          <w:szCs w:val="20"/>
        </w:rPr>
      </w:pPr>
      <w:r w:rsidRPr="006527FA">
        <w:rPr>
          <w:sz w:val="20"/>
          <w:szCs w:val="20"/>
        </w:rPr>
        <w:t xml:space="preserve">       </w:t>
      </w:r>
      <w:proofErr w:type="gramStart"/>
      <w:r w:rsidRPr="006527FA">
        <w:rPr>
          <w:sz w:val="20"/>
          <w:szCs w:val="20"/>
        </w:rPr>
        <w:t>В соответствии со статьей 4 Закона Российской Федерации от 21 июня 1993 года № 5485-1 «О государственной тайне»,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тайны», руководствуясь Уставом Кадыйского муниципального района Костромской области, Собрание депутатов решило:</w:t>
      </w:r>
      <w:proofErr w:type="gramEnd"/>
    </w:p>
    <w:p w:rsidR="006527FA" w:rsidRPr="006527FA" w:rsidRDefault="006527FA" w:rsidP="006527FA">
      <w:pPr>
        <w:numPr>
          <w:ilvl w:val="1"/>
          <w:numId w:val="2"/>
        </w:numPr>
        <w:tabs>
          <w:tab w:val="left" w:pos="567"/>
        </w:tabs>
        <w:ind w:left="0" w:firstLine="360"/>
        <w:jc w:val="both"/>
        <w:rPr>
          <w:sz w:val="20"/>
          <w:szCs w:val="20"/>
        </w:rPr>
      </w:pPr>
      <w:r w:rsidRPr="006527FA">
        <w:rPr>
          <w:sz w:val="20"/>
          <w:szCs w:val="20"/>
        </w:rPr>
        <w:t>Установить ежемесячную процентную надбавку к должностному окладу граждан, допущенных к государственной тайне на постоянной основе по второй форме, с 01.06.2019 года     Зайцеву Владимиру Васильевичу, главе администрации Кадыйского муниципального района – 50 %.</w:t>
      </w:r>
    </w:p>
    <w:p w:rsidR="006527FA" w:rsidRPr="006527FA" w:rsidRDefault="006527FA" w:rsidP="006527FA">
      <w:pPr>
        <w:tabs>
          <w:tab w:val="left" w:pos="2250"/>
        </w:tabs>
        <w:ind w:firstLine="284"/>
        <w:jc w:val="both"/>
        <w:rPr>
          <w:sz w:val="20"/>
          <w:szCs w:val="20"/>
        </w:rPr>
      </w:pPr>
      <w:r w:rsidRPr="006527FA">
        <w:rPr>
          <w:sz w:val="20"/>
          <w:szCs w:val="20"/>
        </w:rPr>
        <w:t>2. Решение вступает в силу с момента подписания и  распространяет свое действие на правоотношения, возникающие с 01.06.2019 года, подлежит опубликованию.</w:t>
      </w:r>
    </w:p>
    <w:p w:rsidR="006527FA" w:rsidRPr="006527FA" w:rsidRDefault="006527FA" w:rsidP="006527FA">
      <w:pPr>
        <w:ind w:firstLine="284"/>
        <w:jc w:val="both"/>
        <w:rPr>
          <w:sz w:val="20"/>
          <w:szCs w:val="20"/>
        </w:rPr>
      </w:pPr>
    </w:p>
    <w:p w:rsidR="006527FA" w:rsidRPr="006527FA" w:rsidRDefault="006527FA" w:rsidP="006527FA">
      <w:pPr>
        <w:tabs>
          <w:tab w:val="left" w:pos="3969"/>
          <w:tab w:val="left" w:pos="4395"/>
          <w:tab w:val="left" w:pos="8931"/>
        </w:tabs>
        <w:spacing w:before="14"/>
        <w:ind w:right="-692"/>
        <w:rPr>
          <w:sz w:val="20"/>
          <w:szCs w:val="20"/>
        </w:rPr>
      </w:pPr>
      <w:r w:rsidRPr="006527FA">
        <w:rPr>
          <w:sz w:val="20"/>
          <w:szCs w:val="20"/>
        </w:rPr>
        <w:t xml:space="preserve">Глава Кадыйского  муниципального района                             </w:t>
      </w:r>
      <w:r>
        <w:rPr>
          <w:sz w:val="20"/>
          <w:szCs w:val="20"/>
        </w:rPr>
        <w:t xml:space="preserve">                                       </w:t>
      </w:r>
      <w:r w:rsidRPr="006527FA">
        <w:rPr>
          <w:sz w:val="20"/>
          <w:szCs w:val="20"/>
        </w:rPr>
        <w:t xml:space="preserve">     Председатель Собрания депутатов</w:t>
      </w:r>
    </w:p>
    <w:p w:rsidR="006527FA" w:rsidRDefault="006527FA" w:rsidP="006527FA">
      <w:pPr>
        <w:pStyle w:val="a5"/>
        <w:shd w:val="clear" w:color="auto" w:fill="FFFFFF"/>
        <w:spacing w:line="230" w:lineRule="exact"/>
        <w:ind w:left="1065"/>
      </w:pPr>
      <w:r w:rsidRPr="00C932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C932D9">
        <w:rPr>
          <w:sz w:val="20"/>
          <w:szCs w:val="20"/>
        </w:rPr>
        <w:t>В.В.Зайцев</w:t>
      </w:r>
      <w:r w:rsidRPr="00C932D9">
        <w:rPr>
          <w:sz w:val="20"/>
          <w:szCs w:val="20"/>
        </w:rPr>
        <w:tab/>
      </w:r>
      <w:r w:rsidRPr="00C932D9">
        <w:rPr>
          <w:sz w:val="20"/>
          <w:szCs w:val="20"/>
        </w:rPr>
        <w:tab/>
      </w:r>
      <w:r w:rsidRPr="00C932D9">
        <w:rPr>
          <w:sz w:val="20"/>
          <w:szCs w:val="20"/>
        </w:rPr>
        <w:tab/>
      </w:r>
      <w:r w:rsidRPr="00C932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</w:t>
      </w:r>
      <w:r w:rsidRPr="00C932D9">
        <w:rPr>
          <w:sz w:val="20"/>
          <w:szCs w:val="20"/>
        </w:rPr>
        <w:t>М.А. Цыплова</w:t>
      </w:r>
    </w:p>
    <w:p w:rsidR="005E4916" w:rsidRDefault="005E4916" w:rsidP="000453D3">
      <w:pPr>
        <w:rPr>
          <w:lang w:eastAsia="ar-SA"/>
        </w:rPr>
      </w:pPr>
    </w:p>
    <w:p w:rsidR="00010BA3" w:rsidRDefault="00010BA3" w:rsidP="000453D3">
      <w:pPr>
        <w:rPr>
          <w:lang w:eastAsia="ar-SA"/>
        </w:rPr>
      </w:pPr>
    </w:p>
    <w:p w:rsidR="00010BA3" w:rsidRDefault="00010BA3" w:rsidP="000453D3">
      <w:pPr>
        <w:rPr>
          <w:lang w:eastAsia="ar-SA"/>
        </w:rPr>
      </w:pPr>
    </w:p>
    <w:p w:rsidR="00010BA3" w:rsidRDefault="00010BA3" w:rsidP="000453D3">
      <w:pPr>
        <w:rPr>
          <w:lang w:eastAsia="ar-SA"/>
        </w:rPr>
      </w:pPr>
    </w:p>
    <w:p w:rsidR="00010BA3" w:rsidRDefault="00010BA3" w:rsidP="000453D3">
      <w:pPr>
        <w:rPr>
          <w:lang w:eastAsia="ar-SA"/>
        </w:rPr>
      </w:pPr>
    </w:p>
    <w:p w:rsidR="00010BA3" w:rsidRDefault="00010BA3" w:rsidP="000453D3">
      <w:pPr>
        <w:rPr>
          <w:lang w:eastAsia="ar-SA"/>
        </w:rPr>
      </w:pPr>
    </w:p>
    <w:p w:rsidR="00010BA3" w:rsidRDefault="00010BA3" w:rsidP="000453D3">
      <w:pPr>
        <w:rPr>
          <w:lang w:eastAsia="ar-SA"/>
        </w:rPr>
      </w:pPr>
    </w:p>
    <w:p w:rsidR="00010BA3" w:rsidRDefault="00010BA3" w:rsidP="000453D3">
      <w:pPr>
        <w:rPr>
          <w:lang w:eastAsia="ar-SA"/>
        </w:rPr>
      </w:pPr>
    </w:p>
    <w:p w:rsidR="00010BA3" w:rsidRDefault="00010BA3" w:rsidP="000453D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p w:rsidR="00010BA3" w:rsidRPr="00010BA3" w:rsidRDefault="00010BA3" w:rsidP="00010BA3">
      <w:pPr>
        <w:rPr>
          <w:lang w:eastAsia="ar-SA"/>
        </w:rPr>
      </w:pPr>
    </w:p>
    <w:tbl>
      <w:tblPr>
        <w:tblpPr w:leftFromText="180" w:rightFromText="180" w:bottomFromText="200" w:vertAnchor="text" w:horzAnchor="margin" w:tblpY="4126"/>
        <w:tblW w:w="10255" w:type="dxa"/>
        <w:tblLayout w:type="fixed"/>
        <w:tblLook w:val="04A0"/>
      </w:tblPr>
      <w:tblGrid>
        <w:gridCol w:w="10255"/>
      </w:tblGrid>
      <w:tr w:rsidR="00010BA3" w:rsidRPr="008E4865" w:rsidTr="00010BA3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A3" w:rsidRPr="008E4865" w:rsidRDefault="00010BA3" w:rsidP="00010BA3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010BA3" w:rsidRPr="008E4865" w:rsidRDefault="00010BA3" w:rsidP="00010BA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010BA3" w:rsidRPr="008E4865" w:rsidRDefault="00010BA3" w:rsidP="00010BA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010BA3" w:rsidRPr="008E4865" w:rsidRDefault="00010BA3" w:rsidP="00010BA3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453D3" w:rsidRPr="00010BA3" w:rsidRDefault="000453D3" w:rsidP="00010BA3">
      <w:pPr>
        <w:tabs>
          <w:tab w:val="left" w:pos="945"/>
        </w:tabs>
        <w:rPr>
          <w:sz w:val="20"/>
          <w:szCs w:val="20"/>
        </w:rPr>
        <w:sectPr w:rsidR="000453D3" w:rsidRPr="00010BA3" w:rsidSect="000453D3">
          <w:pgSz w:w="11906" w:h="16838"/>
          <w:pgMar w:top="425" w:right="567" w:bottom="1134" w:left="709" w:header="709" w:footer="709" w:gutter="0"/>
          <w:cols w:space="708"/>
          <w:docGrid w:linePitch="360"/>
        </w:sectPr>
      </w:pPr>
    </w:p>
    <w:p w:rsidR="0059567A" w:rsidRPr="000453D3" w:rsidRDefault="0059567A" w:rsidP="00010BA3">
      <w:pPr>
        <w:pStyle w:val="a3"/>
        <w:spacing w:after="0"/>
        <w:rPr>
          <w:sz w:val="20"/>
          <w:szCs w:val="20"/>
        </w:rPr>
      </w:pPr>
    </w:p>
    <w:sectPr w:rsidR="0059567A" w:rsidRPr="000453D3" w:rsidSect="000453D3">
      <w:pgSz w:w="16838" w:h="11906" w:orient="landscape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4990855"/>
    <w:multiLevelType w:val="multilevel"/>
    <w:tmpl w:val="B67C6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453D3"/>
    <w:rsid w:val="00010BA3"/>
    <w:rsid w:val="000453D3"/>
    <w:rsid w:val="001630A4"/>
    <w:rsid w:val="001D41DE"/>
    <w:rsid w:val="003B7109"/>
    <w:rsid w:val="0059567A"/>
    <w:rsid w:val="005E4916"/>
    <w:rsid w:val="006527FA"/>
    <w:rsid w:val="006D54F9"/>
    <w:rsid w:val="0079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0453D3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0453D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3D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Body Text"/>
    <w:basedOn w:val="a"/>
    <w:link w:val="a4"/>
    <w:rsid w:val="000453D3"/>
    <w:pPr>
      <w:widowControl/>
      <w:spacing w:after="120"/>
    </w:pPr>
    <w:rPr>
      <w:rFonts w:ascii="Arial" w:eastAsia="Times New Roman" w:hAnsi="Arial" w:cs="Arial"/>
      <w:kern w:val="0"/>
      <w:lang w:eastAsia="ar-SA"/>
    </w:rPr>
  </w:style>
  <w:style w:type="character" w:customStyle="1" w:styleId="a4">
    <w:name w:val="Основной текст Знак"/>
    <w:basedOn w:val="a0"/>
    <w:link w:val="a3"/>
    <w:rsid w:val="000453D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0453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453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E491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5608DC-39C9-4C3D-AFEC-AE238E9A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2019-06-17T13:25:00Z</cp:lastPrinted>
  <dcterms:created xsi:type="dcterms:W3CDTF">2019-06-17T10:59:00Z</dcterms:created>
  <dcterms:modified xsi:type="dcterms:W3CDTF">2019-06-17T13:37:00Z</dcterms:modified>
</cp:coreProperties>
</file>